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021" w:rsidRDefault="00FD1CC4" w14:paraId="6F45D03B" w14:textId="77336574">
      <w:r>
        <w:t>GB Meeting Notes</w:t>
      </w:r>
    </w:p>
    <w:p w:rsidR="00F65615" w:rsidP="1F362601" w:rsidRDefault="00F65615" w14:paraId="13C895AA" w14:textId="5B9F22F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00F65615">
        <w:rPr/>
        <w:t xml:space="preserve">Lesson </w:t>
      </w:r>
      <w:r w:rsidR="3E631463">
        <w:rPr/>
        <w:t>3</w:t>
      </w:r>
      <w:r w:rsidR="00F65615">
        <w:rPr/>
        <w:t xml:space="preserve">: </w:t>
      </w:r>
      <w:r w:rsidR="1AF84354">
        <w:rPr/>
        <w:t>Annual Funding Round</w:t>
      </w:r>
    </w:p>
    <w:p w:rsidR="00FD1CC4" w:rsidRDefault="00FD1CC4" w14:paraId="30338D5D" w14:textId="44BE250D">
      <w:r w:rsidR="1AF84354">
        <w:rPr/>
        <w:t>6</w:t>
      </w:r>
      <w:r w:rsidR="00FD1CC4">
        <w:rPr/>
        <w:t>/5/24</w:t>
      </w:r>
    </w:p>
    <w:p w:rsidR="00FD1CC4" w:rsidRDefault="00FD1CC4" w14:paraId="32A9A171" w14:textId="77777777"/>
    <w:p w:rsidR="00D4582F" w:rsidRDefault="00D4582F" w14:paraId="7678ECFF" w14:textId="4E7B18C8">
      <w:hyperlink r:id="Rd49a2a500e4c4a1a">
        <w:r w:rsidRPr="499D6C0E" w:rsidR="00D4582F">
          <w:rPr>
            <w:rStyle w:val="Hyperlink"/>
          </w:rPr>
          <w:t>Recording</w:t>
        </w:r>
      </w:hyperlink>
    </w:p>
    <w:p w:rsidR="00D4582F" w:rsidRDefault="00D4582F" w14:paraId="4C329137" w14:textId="77777777"/>
    <w:p w:rsidR="00D4582F" w:rsidP="1490FECA" w:rsidRDefault="00D4582F" w14:paraId="40FF906B" w14:textId="74FEA85F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</w:pPr>
      <w:r w:rsidR="00FD1CC4">
        <w:rPr/>
        <w:t>Presentatio</w:t>
      </w:r>
      <w:r w:rsidR="00D4582F">
        <w:rPr/>
        <w:t xml:space="preserve">n: </w:t>
      </w:r>
      <w:hyperlink r:id="R3d70b2aa65a74a04">
        <w:r w:rsidRPr="1490FECA" w:rsidR="01896057">
          <w:rPr>
            <w:rStyle w:val="Hyperlink"/>
          </w:rPr>
          <w:t>CoC Annual Funding Round</w:t>
        </w:r>
      </w:hyperlink>
    </w:p>
    <w:p w:rsidR="1490FECA" w:rsidP="1490FECA" w:rsidRDefault="1490FECA" w14:paraId="7F51220C" w14:textId="2A69F7E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</w:p>
    <w:p w:rsidR="663BACF6" w:rsidP="1490FECA" w:rsidRDefault="663BACF6" w14:paraId="21F1D4EA" w14:textId="32ED59C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663BACF6">
        <w:rPr/>
        <w:t>Discussion prompt: What program models and categories of eligibility do you think are most in need of more resources locally?</w:t>
      </w:r>
    </w:p>
    <w:p w:rsidR="018434B0" w:rsidP="1490FECA" w:rsidRDefault="018434B0" w14:paraId="3EF9A896" w14:textId="5683DE6B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018434B0">
        <w:rPr/>
        <w:t>Sol: Newcomers to LI who are seeking immigration status are facing difficulties getting housed. There are executive orders against them getting status or being housed in the community.</w:t>
      </w:r>
    </w:p>
    <w:p w:rsidR="018434B0" w:rsidP="1490FECA" w:rsidRDefault="018434B0" w14:paraId="0FC89952" w14:textId="1A8CF2FC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018434B0">
        <w:rPr/>
        <w:t xml:space="preserve">Greta: Housing that </w:t>
      </w:r>
      <w:r w:rsidR="018434B0">
        <w:rPr/>
        <w:t>appears to be</w:t>
      </w:r>
      <w:r w:rsidR="018434B0">
        <w:rPr/>
        <w:t xml:space="preserve"> most effective is PSH. RRH ideally would ideally be able to turn around more households, as the program ends every 2 years </w:t>
      </w:r>
      <w:r w:rsidR="3BFED7EF">
        <w:rPr/>
        <w:t>whereas</w:t>
      </w:r>
      <w:r w:rsidR="018434B0">
        <w:rPr/>
        <w:t xml:space="preserve"> in PSH people may stay there for </w:t>
      </w:r>
      <w:r w:rsidR="018434B0">
        <w:rPr/>
        <w:t>long periods</w:t>
      </w:r>
      <w:r w:rsidR="018434B0">
        <w:rPr/>
        <w:t xml:space="preserve"> of time. Unfortunate</w:t>
      </w:r>
      <w:r w:rsidR="12B64EF4">
        <w:rPr/>
        <w:t xml:space="preserve">ly, due to the </w:t>
      </w:r>
      <w:r w:rsidR="12B64EF4">
        <w:rPr/>
        <w:t>high cost</w:t>
      </w:r>
      <w:r w:rsidR="12B64EF4">
        <w:rPr/>
        <w:t xml:space="preserve"> of living on LI, it has been difficult for anyone to pay </w:t>
      </w:r>
      <w:r w:rsidR="12B64EF4">
        <w:rPr/>
        <w:t>full</w:t>
      </w:r>
      <w:r w:rsidR="12B64EF4">
        <w:rPr/>
        <w:t xml:space="preserve"> market rate without a subsidy. Most households in RRH are not able to afford the full amount after 2 years. If there is nothing for those households to transition into, they are at </w:t>
      </w:r>
      <w:r w:rsidR="12B64EF4">
        <w:rPr/>
        <w:t>high risk</w:t>
      </w:r>
      <w:r w:rsidR="12B64EF4">
        <w:rPr/>
        <w:t xml:space="preserve"> of becoming homeless aga</w:t>
      </w:r>
      <w:r w:rsidR="5A0EDA1E">
        <w:rPr/>
        <w:t xml:space="preserve">in. If there could be </w:t>
      </w:r>
      <w:r w:rsidR="5A0EDA1E">
        <w:rPr/>
        <w:t>partnership</w:t>
      </w:r>
      <w:r w:rsidR="5A0EDA1E">
        <w:rPr/>
        <w:t xml:space="preserve"> with PHAs to </w:t>
      </w:r>
      <w:r w:rsidR="5A0EDA1E">
        <w:rPr/>
        <w:t>provi</w:t>
      </w:r>
      <w:r w:rsidR="5A0EDA1E">
        <w:rPr/>
        <w:t xml:space="preserve">de vouchers after the program, that would be something different. </w:t>
      </w:r>
    </w:p>
    <w:p w:rsidR="5A0EDA1E" w:rsidP="1490FECA" w:rsidRDefault="5A0EDA1E" w14:paraId="7425D418" w14:textId="61CF8EAD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5A0EDA1E">
        <w:rPr/>
        <w:t xml:space="preserve">Alison: Rents are ridiculous. </w:t>
      </w:r>
      <w:r w:rsidR="5A0EDA1E">
        <w:rPr/>
        <w:t>ToB</w:t>
      </w:r>
      <w:r w:rsidR="5A0EDA1E">
        <w:rPr/>
        <w:t xml:space="preserve"> is in a shortfall, so we cannot give out any new vouchers and </w:t>
      </w:r>
      <w:r w:rsidR="5A0EDA1E">
        <w:rPr/>
        <w:t>assist</w:t>
      </w:r>
      <w:r w:rsidR="5A0EDA1E">
        <w:rPr/>
        <w:t xml:space="preserve"> until the shortfall in funds is dealt with. HUD recognizes it. </w:t>
      </w:r>
      <w:r w:rsidR="6FA75FA6">
        <w:rPr/>
        <w:t xml:space="preserve">This leads to a negative outlook on RRH for the region. </w:t>
      </w:r>
    </w:p>
    <w:p w:rsidR="6FA75FA6" w:rsidP="1490FECA" w:rsidRDefault="6FA75FA6" w14:paraId="0EFEE0FF" w14:textId="18490E09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6FA75FA6">
        <w:rPr/>
        <w:t xml:space="preserve">Samantha: As someone who has sought housing with a family, it is hard </w:t>
      </w:r>
      <w:r w:rsidR="6FA75FA6">
        <w:rPr/>
        <w:t>with</w:t>
      </w:r>
      <w:r w:rsidR="6FA75FA6">
        <w:rPr/>
        <w:t xml:space="preserve"> children to find housing. People will hang up </w:t>
      </w:r>
      <w:r w:rsidR="0F4F05DD">
        <w:rPr/>
        <w:t xml:space="preserve">on you when they find out you have kids. </w:t>
      </w:r>
      <w:r w:rsidR="20DFFC73">
        <w:rPr/>
        <w:t xml:space="preserve">Regardless of other populations you may identify with, having vulnerable people that are helpless without you will always complicate things. </w:t>
      </w:r>
      <w:r w:rsidR="2081A5CA">
        <w:rPr/>
        <w:t>In terms of housing affordability, h</w:t>
      </w:r>
      <w:r w:rsidR="20DFFC73">
        <w:rPr/>
        <w:t xml:space="preserve">ousing cooperatives might help keep the rent low – these might be able to be used with program models like </w:t>
      </w:r>
      <w:r w:rsidR="70CD969B">
        <w:rPr/>
        <w:t xml:space="preserve">RRH. </w:t>
      </w:r>
      <w:r w:rsidR="70CD969B">
        <w:rPr/>
        <w:t>Logistics</w:t>
      </w:r>
      <w:r w:rsidR="70CD969B">
        <w:rPr/>
        <w:t xml:space="preserve"> would be more challenging.</w:t>
      </w:r>
    </w:p>
    <w:p w:rsidR="70CD969B" w:rsidP="1490FECA" w:rsidRDefault="70CD969B" w14:paraId="6F8EAFB4" w14:textId="5FC6260D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70CD969B">
        <w:rPr/>
        <w:t>Example partner with cooperative community to have units be PSH set aside</w:t>
      </w:r>
      <w:r w:rsidR="17796AE4">
        <w:rPr/>
        <w:t>, providing guaranteed rent.</w:t>
      </w:r>
      <w:r w:rsidR="70CD969B">
        <w:rPr/>
        <w:t xml:space="preserve"> Often cooperatives get subsides from land trusts, so there would have to be buy in from other entities.</w:t>
      </w:r>
      <w:r w:rsidR="0C072C9F">
        <w:rPr/>
        <w:t xml:space="preserve"> For RRH, could help support people with end to subsidy. </w:t>
      </w:r>
    </w:p>
    <w:p w:rsidR="0C072C9F" w:rsidP="1490FECA" w:rsidRDefault="0C072C9F" w14:paraId="2BDFC24F" w14:textId="371ED8B7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0C072C9F">
        <w:rPr/>
        <w:t xml:space="preserve">Challenge for RRH in stationary </w:t>
      </w:r>
      <w:r w:rsidR="0C072C9F">
        <w:rPr/>
        <w:t>location, because</w:t>
      </w:r>
      <w:r w:rsidR="0C072C9F">
        <w:rPr/>
        <w:t xml:space="preserve"> people must be able to choose their location. </w:t>
      </w:r>
    </w:p>
    <w:p w:rsidR="567A78F2" w:rsidP="1490FECA" w:rsidRDefault="567A78F2" w14:paraId="40207598" w14:textId="10034E2B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567A78F2">
        <w:rPr/>
        <w:t xml:space="preserve">Sol: Is there </w:t>
      </w:r>
      <w:r w:rsidR="567A78F2">
        <w:rPr/>
        <w:t>challenge</w:t>
      </w:r>
      <w:r w:rsidR="567A78F2">
        <w:rPr/>
        <w:t xml:space="preserve"> getting people into PSH? What percentage of people can be served? What is realistic in terms of placing people in permanent housing? Housing laws and zoning makes this difficult. </w:t>
      </w:r>
    </w:p>
    <w:p w:rsidR="567A78F2" w:rsidP="1490FECA" w:rsidRDefault="567A78F2" w14:paraId="3C756CE9" w14:textId="218386ED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567A78F2">
        <w:rPr/>
        <w:t xml:space="preserve">Greta: </w:t>
      </w:r>
      <w:r w:rsidR="45CC1A1D">
        <w:rPr/>
        <w:t xml:space="preserve">Having a program </w:t>
      </w:r>
      <w:r w:rsidR="45CC1A1D">
        <w:rPr/>
        <w:t>own</w:t>
      </w:r>
      <w:r w:rsidR="45CC1A1D">
        <w:rPr/>
        <w:t xml:space="preserve"> a property helps keep rent reasonable, but it costs a lot up front and can only serve a small number of people at a time. A lot of programs are rental programs, which </w:t>
      </w:r>
      <w:r w:rsidR="45CC1A1D">
        <w:rPr/>
        <w:t>provide assistance to</w:t>
      </w:r>
      <w:r w:rsidR="45CC1A1D">
        <w:rPr/>
        <w:t xml:space="preserve"> households to pay their rent. The </w:t>
      </w:r>
      <w:r w:rsidR="45CC1A1D">
        <w:rPr/>
        <w:t>initial</w:t>
      </w:r>
      <w:r w:rsidR="45CC1A1D">
        <w:rPr/>
        <w:t xml:space="preserve"> grant a</w:t>
      </w:r>
      <w:r w:rsidR="587BAB27">
        <w:rPr/>
        <w:t xml:space="preserve">mount requested is the fair market rent </w:t>
      </w:r>
      <w:r w:rsidR="40DCB0A7">
        <w:rPr/>
        <w:t xml:space="preserve">(FMR) </w:t>
      </w:r>
      <w:r w:rsidR="587BAB27">
        <w:rPr/>
        <w:t xml:space="preserve">at the time the application goes in. If the agency is renting the unit, they pay the full amount of the </w:t>
      </w:r>
      <w:r w:rsidR="587BAB27">
        <w:rPr/>
        <w:t>rent</w:t>
      </w:r>
      <w:r w:rsidR="587BAB27">
        <w:rPr/>
        <w:t xml:space="preserve"> and the participant pays their </w:t>
      </w:r>
      <w:r w:rsidR="587BAB27">
        <w:rPr/>
        <w:t>portion</w:t>
      </w:r>
      <w:r w:rsidR="587BAB27">
        <w:rPr/>
        <w:t xml:space="preserve"> to the program. In rental </w:t>
      </w:r>
      <w:r w:rsidR="587BAB27">
        <w:rPr/>
        <w:t>assistance</w:t>
      </w:r>
      <w:r w:rsidR="587BAB27">
        <w:rPr/>
        <w:t xml:space="preserve"> programs, the lease is in the participant’s </w:t>
      </w:r>
      <w:r w:rsidR="587BAB27">
        <w:rPr/>
        <w:t>name</w:t>
      </w:r>
      <w:r w:rsidR="587BAB27">
        <w:rPr/>
        <w:t xml:space="preserve"> and they are paying their </w:t>
      </w:r>
      <w:r w:rsidR="587BAB27">
        <w:rPr/>
        <w:t>portion</w:t>
      </w:r>
      <w:r w:rsidR="587BAB27">
        <w:rPr/>
        <w:t>, and the progr</w:t>
      </w:r>
      <w:r w:rsidR="700C6C8D">
        <w:rPr/>
        <w:t xml:space="preserve">am pays the rest. You could serve more households with rental </w:t>
      </w:r>
      <w:r w:rsidR="700C6C8D">
        <w:rPr/>
        <w:t>assistance</w:t>
      </w:r>
      <w:r w:rsidR="700C6C8D">
        <w:rPr/>
        <w:t xml:space="preserve"> than with a capital project. The problem is when the rents are high, as they are on LI, they are above </w:t>
      </w:r>
      <w:r w:rsidR="700C6C8D">
        <w:rPr/>
        <w:t>FMR</w:t>
      </w:r>
      <w:r w:rsidR="700C6C8D">
        <w:rPr/>
        <w:t xml:space="preserve"> an</w:t>
      </w:r>
      <w:r w:rsidR="1720441C">
        <w:rPr/>
        <w:t xml:space="preserve">d the program </w:t>
      </w:r>
      <w:r w:rsidR="1720441C">
        <w:rPr/>
        <w:t>has to</w:t>
      </w:r>
      <w:r w:rsidR="1720441C">
        <w:rPr/>
        <w:t xml:space="preserve"> </w:t>
      </w:r>
      <w:r w:rsidR="1720441C">
        <w:rPr/>
        <w:t>come up with</w:t>
      </w:r>
      <w:r w:rsidR="1720441C">
        <w:rPr/>
        <w:t xml:space="preserve"> the difference between the amount requested in the grant and the actual rent cost. There may be a small amount they can go over FMR using rent reasonableness, but usually it does not cover the full cost. </w:t>
      </w:r>
    </w:p>
    <w:p w:rsidR="01BAC9B2" w:rsidP="1490FECA" w:rsidRDefault="01BAC9B2" w14:paraId="13D22D82" w14:textId="4048A687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01BAC9B2">
        <w:rPr/>
        <w:t xml:space="preserve">Mike: In discussions about program model, we </w:t>
      </w:r>
      <w:r w:rsidR="01BAC9B2">
        <w:rPr/>
        <w:t>not need</w:t>
      </w:r>
      <w:r w:rsidR="01BAC9B2">
        <w:rPr/>
        <w:t xml:space="preserve"> to decide strictly one or another. People have </w:t>
      </w:r>
      <w:r w:rsidR="01BAC9B2">
        <w:rPr/>
        <w:t>different needs</w:t>
      </w:r>
      <w:r w:rsidR="01BAC9B2">
        <w:rPr/>
        <w:t xml:space="preserve"> and preferences, and different program models may be better for some people than others. </w:t>
      </w:r>
      <w:r w:rsidR="6773D2AE">
        <w:rPr/>
        <w:t>Currently, we have several PSH and RRH and piloting some TH-RRH models.</w:t>
      </w:r>
      <w:r w:rsidR="01BAC9B2">
        <w:rPr/>
        <w:t xml:space="preserve"> </w:t>
      </w:r>
      <w:r w:rsidR="2F3583E1">
        <w:rPr/>
        <w:t xml:space="preserve">There is a need for all program models. There are many more households than we will ever be able to serve. </w:t>
      </w:r>
      <w:r w:rsidR="715CF8DF">
        <w:rPr/>
        <w:t xml:space="preserve">There is a shortfall in RRH, due to the high rent costs they cannot serve as many households as projected because units cannot be </w:t>
      </w:r>
      <w:r w:rsidR="715CF8DF">
        <w:rPr/>
        <w:t>identified</w:t>
      </w:r>
      <w:r w:rsidR="715CF8DF">
        <w:rPr/>
        <w:t xml:space="preserve"> at a reasonable cost. </w:t>
      </w:r>
      <w:r w:rsidR="715CF8DF">
        <w:rPr/>
        <w:t xml:space="preserve">So unlike PSH, there are dollars that </w:t>
      </w:r>
      <w:r w:rsidR="7F049414">
        <w:rPr/>
        <w:t>are not able to be used to the extent to which they are funded.</w:t>
      </w:r>
      <w:r w:rsidR="7F049414">
        <w:rPr/>
        <w:t xml:space="preserve"> </w:t>
      </w:r>
    </w:p>
    <w:p w:rsidR="1490FECA" w:rsidP="1490FECA" w:rsidRDefault="1490FECA" w14:paraId="0CF99FEE" w14:textId="5C19FC1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</w:p>
    <w:p w:rsidR="08553228" w:rsidP="1490FECA" w:rsidRDefault="08553228" w14:paraId="3F10B232" w14:textId="2399B08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08553228">
        <w:rPr/>
        <w:t>Discussion &amp; Questions following presentation</w:t>
      </w:r>
    </w:p>
    <w:p w:rsidR="08553228" w:rsidP="1490FECA" w:rsidRDefault="08553228" w14:paraId="33F7AD10" w14:textId="6B553569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08553228">
        <w:rPr/>
        <w:t>Is there a timeline for the funding round next steps?</w:t>
      </w:r>
    </w:p>
    <w:p w:rsidR="08553228" w:rsidP="1490FECA" w:rsidRDefault="08553228" w14:paraId="5374CCDA" w14:textId="262BF683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08553228">
        <w:rPr/>
        <w:t>What would be most helpful for new people to be kept up to speed?</w:t>
      </w:r>
    </w:p>
    <w:p w:rsidR="08553228" w:rsidP="1490FECA" w:rsidRDefault="08553228" w14:paraId="69B7B691" w14:textId="36EF84D3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hyperlink r:id="Rd937b7a5111b4568">
        <w:r w:rsidRPr="1490FECA" w:rsidR="08553228">
          <w:rPr>
            <w:rStyle w:val="Hyperlink"/>
          </w:rPr>
          <w:t>CoC website</w:t>
        </w:r>
      </w:hyperlink>
      <w:r w:rsidR="08553228">
        <w:rPr/>
        <w:t xml:space="preserve"> has local </w:t>
      </w:r>
      <w:r w:rsidR="08553228">
        <w:rPr/>
        <w:t>application</w:t>
      </w:r>
      <w:r w:rsidR="08553228">
        <w:rPr/>
        <w:t xml:space="preserve">, priority listing, scorecards, and NOFO. </w:t>
      </w:r>
    </w:p>
    <w:p w:rsidR="3F6F9F70" w:rsidP="1490FECA" w:rsidRDefault="3F6F9F70" w14:paraId="35E61D82" w14:textId="3E405652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3F6F9F70">
        <w:rPr/>
        <w:t xml:space="preserve">The scorecard considers how programs meet local needs. Reviewing the scorecard and the priority listing can be helpful. </w:t>
      </w:r>
    </w:p>
    <w:p w:rsidR="3F6F9F70" w:rsidP="1490FECA" w:rsidRDefault="3F6F9F70" w14:paraId="4C5242B1" w14:textId="7C52C971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3F6F9F70">
        <w:rPr/>
        <w:t xml:space="preserve">CoC planning staff will be thoroughly reviewing the 2024 NOFO and bring a summary to </w:t>
      </w:r>
      <w:r w:rsidR="3F6F9F70">
        <w:rPr/>
        <w:t>the GB</w:t>
      </w:r>
      <w:r w:rsidR="3F6F9F70">
        <w:rPr/>
        <w:t xml:space="preserve">. </w:t>
      </w:r>
    </w:p>
    <w:p w:rsidR="3F6F9F70" w:rsidP="1490FECA" w:rsidRDefault="3F6F9F70" w14:paraId="28F0E73E" w14:textId="5E79CF7E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3F6F9F70">
        <w:rPr/>
        <w:t xml:space="preserve">Annual reports can be sent, but they are </w:t>
      </w:r>
      <w:r w:rsidR="3F6F9F70">
        <w:rPr/>
        <w:t>probably not</w:t>
      </w:r>
      <w:r w:rsidR="3F6F9F70">
        <w:rPr/>
        <w:t xml:space="preserve"> that helpful. </w:t>
      </w:r>
    </w:p>
    <w:p w:rsidR="3F6F9F70" w:rsidP="1490FECA" w:rsidRDefault="3F6F9F70" w14:paraId="65C54BAA" w14:textId="36E0DE28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3F6F9F70">
        <w:rPr/>
        <w:t>Review of last year’s scorecard (used by Ranking Committee to review projects)</w:t>
      </w:r>
    </w:p>
    <w:p w:rsidR="3F6F9F70" w:rsidP="1490FECA" w:rsidRDefault="3F6F9F70" w14:paraId="73DB1103" w14:textId="510F4874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3F6F9F70">
        <w:rPr/>
        <w:t xml:space="preserve">Criteria may have a benchmark, where above the benchmark you </w:t>
      </w:r>
      <w:r w:rsidR="3F6F9F70">
        <w:rPr/>
        <w:t>receive</w:t>
      </w:r>
      <w:r w:rsidR="3F6F9F70">
        <w:rPr/>
        <w:t xml:space="preserve"> points up to all available, and below the benchmark you lose points.</w:t>
      </w:r>
    </w:p>
    <w:p w:rsidR="3F6F9F70" w:rsidP="1490FECA" w:rsidRDefault="3F6F9F70" w14:paraId="47536157" w14:textId="3A447BC2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3F6F9F70">
        <w:rPr/>
        <w:t xml:space="preserve">Raw data is available, as well as the scores on different tabs. </w:t>
      </w:r>
    </w:p>
    <w:p w:rsidR="3F6F9F70" w:rsidP="1490FECA" w:rsidRDefault="3F6F9F70" w14:paraId="44379E81" w14:textId="0C904ABE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3F6F9F70">
        <w:rPr/>
        <w:t xml:space="preserve">The system administrator can run reports on data quality and completeness in HMIS. </w:t>
      </w:r>
    </w:p>
    <w:p w:rsidR="01C4E569" w:rsidP="1490FECA" w:rsidRDefault="01C4E569" w14:paraId="68ED05CD" w14:textId="1B008037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01C4E569">
        <w:rPr/>
        <w:t xml:space="preserve">Regional gaps do not have a benchmark, but programs earn points </w:t>
      </w:r>
      <w:r w:rsidR="01C4E569">
        <w:rPr/>
        <w:t>dependent</w:t>
      </w:r>
      <w:r w:rsidR="01C4E569">
        <w:rPr/>
        <w:t xml:space="preserve"> on the program model. Points are split if they have </w:t>
      </w:r>
      <w:r w:rsidR="01C4E569">
        <w:rPr/>
        <w:t>different types</w:t>
      </w:r>
      <w:r w:rsidR="01C4E569">
        <w:rPr/>
        <w:t xml:space="preserve"> of beds fitting into </w:t>
      </w:r>
      <w:r w:rsidR="01C4E569">
        <w:rPr/>
        <w:t>different categories</w:t>
      </w:r>
      <w:r w:rsidR="01C4E569">
        <w:rPr/>
        <w:t xml:space="preserve">. </w:t>
      </w:r>
    </w:p>
    <w:p w:rsidR="01C4E569" w:rsidP="1490FECA" w:rsidRDefault="01C4E569" w14:paraId="4A1570D9" w14:textId="53AD034E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01C4E569">
        <w:rPr/>
        <w:t xml:space="preserve">Scores are at the bottom for all categories and divided by total </w:t>
      </w:r>
      <w:r w:rsidR="01C4E569">
        <w:rPr/>
        <w:t>possible points</w:t>
      </w:r>
      <w:r w:rsidR="01C4E569">
        <w:rPr/>
        <w:t xml:space="preserve"> they could have earned to get a percentage. </w:t>
      </w:r>
    </w:p>
    <w:p w:rsidR="01C4E569" w:rsidP="1490FECA" w:rsidRDefault="01C4E569" w14:paraId="445F97CB" w14:textId="012FBAC5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01C4E569">
        <w:rPr/>
        <w:t xml:space="preserve">All scores are ranked in order based on percentage score. </w:t>
      </w:r>
    </w:p>
    <w:p w:rsidR="01C4E569" w:rsidP="1490FECA" w:rsidRDefault="01C4E569" w14:paraId="4BC0A137" w14:textId="6ADEB582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01C4E569">
        <w:rPr/>
        <w:t xml:space="preserve">What </w:t>
      </w:r>
      <w:r w:rsidR="01C4E569">
        <w:rPr/>
        <w:t>is</w:t>
      </w:r>
      <w:r w:rsidR="01C4E569">
        <w:rPr/>
        <w:t xml:space="preserve"> the criteria being used to </w:t>
      </w:r>
      <w:r w:rsidR="01C4E569">
        <w:rPr/>
        <w:t>determine</w:t>
      </w:r>
      <w:r w:rsidR="01C4E569">
        <w:rPr/>
        <w:t xml:space="preserve"> how well the program did that year?</w:t>
      </w:r>
    </w:p>
    <w:p w:rsidR="01C4E569" w:rsidP="1490FECA" w:rsidRDefault="01C4E569" w14:paraId="0F8C6AA6" w14:textId="466F42A5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01C4E569">
        <w:rPr/>
        <w:t xml:space="preserve">The scores are a ranking. There is no “pass” or “fail” and no threshold below which a program would not be funded. </w:t>
      </w:r>
    </w:p>
    <w:p w:rsidR="01C4E569" w:rsidP="1490FECA" w:rsidRDefault="01C4E569" w14:paraId="23AF8F86" w14:textId="326F6562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01C4E569">
        <w:rPr/>
        <w:t xml:space="preserve">There is a lot of variation. 22% of the score last year was based on a regional gap. If it is a low need program (relatively) they </w:t>
      </w:r>
      <w:r w:rsidR="1D060796">
        <w:rPr/>
        <w:t>will</w:t>
      </w:r>
      <w:r w:rsidR="01C4E569">
        <w:rPr/>
        <w:t xml:space="preserve"> not get the points.</w:t>
      </w:r>
      <w:r w:rsidR="686E3B63">
        <w:rPr/>
        <w:t xml:space="preserve"> For example, programs that only serve veterans or HIV/AIDS would get 0 points because they do not serve an existing need (there is already more housing of these types than needed). </w:t>
      </w:r>
    </w:p>
    <w:p w:rsidR="1490FECA" w:rsidP="1490FECA" w:rsidRDefault="1490FECA" w14:paraId="1E0A6BAE" w14:textId="17B907D1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720" w:right="0"/>
        <w:jc w:val="left"/>
      </w:pPr>
    </w:p>
    <w:p w:rsidR="00BA6293" w:rsidP="00BA6293" w:rsidRDefault="00BA6293" w14:paraId="375A40F8" w14:textId="77777777">
      <w:pPr>
        <w:rPr>
          <w:rStyle w:val="ui-provider"/>
        </w:rPr>
      </w:pPr>
    </w:p>
    <w:p w:rsidR="00D4582F" w:rsidP="00BA6293" w:rsidRDefault="00D4582F" w14:paraId="3053D7B1" w14:textId="10D51A3E">
      <w:r w:rsidRPr="1490FECA" w:rsidR="00D4582F">
        <w:rPr>
          <w:b w:val="1"/>
          <w:bCs w:val="1"/>
        </w:rPr>
        <w:t>Attendees</w:t>
      </w:r>
      <w:r w:rsidR="00D4582F">
        <w:rPr/>
        <w:t>:</w:t>
      </w:r>
    </w:p>
    <w:p w:rsidR="00D4582F" w:rsidRDefault="00D4582F" w14:paraId="0D58A9ED" w14:textId="5A44410F">
      <w:r>
        <w:t>Mike Giuffrida (CoC Planning)</w:t>
      </w:r>
    </w:p>
    <w:p w:rsidR="00D4582F" w:rsidRDefault="00D4582F" w14:paraId="70A73D80" w14:textId="44C18339">
      <w:r w:rsidR="00D4582F">
        <w:rPr/>
        <w:t>Samantha Grimaldi</w:t>
      </w:r>
    </w:p>
    <w:p w:rsidR="125CE9F7" w:rsidP="1490FECA" w:rsidRDefault="125CE9F7" w14:paraId="56754137" w14:textId="5EFD027D">
      <w:pPr>
        <w:pStyle w:val="Normal"/>
      </w:pPr>
      <w:r w:rsidR="125CE9F7">
        <w:rPr/>
        <w:t>Greta Guarton</w:t>
      </w:r>
    </w:p>
    <w:p w:rsidR="125CE9F7" w:rsidP="1490FECA" w:rsidRDefault="125CE9F7" w14:paraId="3EF508CC" w14:textId="0AA4E01D">
      <w:pPr>
        <w:pStyle w:val="Normal"/>
      </w:pPr>
      <w:r w:rsidR="125CE9F7">
        <w:rPr/>
        <w:t>Alison Karppi</w:t>
      </w:r>
    </w:p>
    <w:p w:rsidR="125CE9F7" w:rsidP="1490FECA" w:rsidRDefault="125CE9F7" w14:paraId="36E05E07" w14:textId="79C8A3F6">
      <w:pPr>
        <w:pStyle w:val="Normal"/>
      </w:pPr>
      <w:r w:rsidR="125CE9F7">
        <w:rPr/>
        <w:t>Mia Baines</w:t>
      </w:r>
    </w:p>
    <w:p w:rsidR="125CE9F7" w:rsidP="1490FECA" w:rsidRDefault="125CE9F7" w14:paraId="0DCAEC3D" w14:textId="37284663">
      <w:pPr>
        <w:pStyle w:val="Normal"/>
      </w:pPr>
      <w:r w:rsidR="125CE9F7">
        <w:rPr/>
        <w:t>Kevin Crean</w:t>
      </w:r>
    </w:p>
    <w:p w:rsidR="125CE9F7" w:rsidP="1490FECA" w:rsidRDefault="125CE9F7" w14:paraId="0288FC32" w14:textId="490A9A0E">
      <w:pPr>
        <w:pStyle w:val="Normal"/>
      </w:pPr>
      <w:r w:rsidR="125CE9F7">
        <w:rPr/>
        <w:t xml:space="preserve">Sandy </w:t>
      </w:r>
      <w:r w:rsidR="125CE9F7">
        <w:rPr/>
        <w:t>Guilluame</w:t>
      </w:r>
      <w:r w:rsidR="125CE9F7">
        <w:rPr/>
        <w:t xml:space="preserve"> (1.25 </w:t>
      </w:r>
      <w:r w:rsidR="125CE9F7">
        <w:rPr/>
        <w:t>hr</w:t>
      </w:r>
      <w:r w:rsidR="125CE9F7">
        <w:rPr/>
        <w:t>)</w:t>
      </w:r>
    </w:p>
    <w:p w:rsidR="125CE9F7" w:rsidP="1490FECA" w:rsidRDefault="125CE9F7" w14:paraId="56FD4B31" w14:textId="3A8BDDFA">
      <w:pPr>
        <w:pStyle w:val="Normal"/>
      </w:pPr>
      <w:r w:rsidR="125CE9F7">
        <w:rPr/>
        <w:t>Amanda Sanford</w:t>
      </w:r>
    </w:p>
    <w:p w:rsidR="125CE9F7" w:rsidP="1490FECA" w:rsidRDefault="125CE9F7" w14:paraId="4E47E7B5" w14:textId="1B18CEC7">
      <w:pPr>
        <w:pStyle w:val="Normal"/>
      </w:pPr>
      <w:r w:rsidR="125CE9F7">
        <w:rPr/>
        <w:t xml:space="preserve">Sol Marie Alfonso Jones </w:t>
      </w:r>
    </w:p>
    <w:p w:rsidR="00D4582F" w:rsidRDefault="00D4582F" w14:paraId="43577D06" w14:textId="77777777"/>
    <w:sectPr w:rsidR="00D4582F" w:rsidSect="003F64B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4a9a76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86262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55960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9C5A3D"/>
    <w:multiLevelType w:val="hybridMultilevel"/>
    <w:tmpl w:val="1A686F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CC1EE6"/>
    <w:multiLevelType w:val="hybridMultilevel"/>
    <w:tmpl w:val="45483D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1" w16cid:durableId="847477412">
    <w:abstractNumId w:val="1"/>
  </w:num>
  <w:num w:numId="2" w16cid:durableId="88856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C4"/>
    <w:rsid w:val="003F64B6"/>
    <w:rsid w:val="006C5306"/>
    <w:rsid w:val="00717876"/>
    <w:rsid w:val="00853021"/>
    <w:rsid w:val="00891D2D"/>
    <w:rsid w:val="00BA6293"/>
    <w:rsid w:val="00D4582F"/>
    <w:rsid w:val="00F65615"/>
    <w:rsid w:val="00FD1CC4"/>
    <w:rsid w:val="018434B0"/>
    <w:rsid w:val="01896057"/>
    <w:rsid w:val="01BAC9B2"/>
    <w:rsid w:val="01C4E569"/>
    <w:rsid w:val="025CF462"/>
    <w:rsid w:val="043B4D14"/>
    <w:rsid w:val="08553228"/>
    <w:rsid w:val="094E4C23"/>
    <w:rsid w:val="0C072C9F"/>
    <w:rsid w:val="0F4F05DD"/>
    <w:rsid w:val="11595E08"/>
    <w:rsid w:val="117E6EFF"/>
    <w:rsid w:val="125CE9F7"/>
    <w:rsid w:val="12B64EF4"/>
    <w:rsid w:val="1490FECA"/>
    <w:rsid w:val="1720441C"/>
    <w:rsid w:val="17796AE4"/>
    <w:rsid w:val="1AF84354"/>
    <w:rsid w:val="1D060796"/>
    <w:rsid w:val="1DBB822C"/>
    <w:rsid w:val="1F127BA6"/>
    <w:rsid w:val="1F362601"/>
    <w:rsid w:val="2081A5CA"/>
    <w:rsid w:val="20DFFC73"/>
    <w:rsid w:val="217AE91F"/>
    <w:rsid w:val="223DC703"/>
    <w:rsid w:val="22E86BD8"/>
    <w:rsid w:val="2413CABF"/>
    <w:rsid w:val="27429E82"/>
    <w:rsid w:val="2882C298"/>
    <w:rsid w:val="2BF8EC34"/>
    <w:rsid w:val="2F3406BD"/>
    <w:rsid w:val="2F3583E1"/>
    <w:rsid w:val="2FAD775B"/>
    <w:rsid w:val="3438837F"/>
    <w:rsid w:val="359FCE7A"/>
    <w:rsid w:val="35A34841"/>
    <w:rsid w:val="377F66DA"/>
    <w:rsid w:val="3BFED7EF"/>
    <w:rsid w:val="3E33E6F2"/>
    <w:rsid w:val="3E5E32C7"/>
    <w:rsid w:val="3E631463"/>
    <w:rsid w:val="3F6F9F70"/>
    <w:rsid w:val="40DCB0A7"/>
    <w:rsid w:val="41B52E31"/>
    <w:rsid w:val="41D9BDDB"/>
    <w:rsid w:val="4289B8CF"/>
    <w:rsid w:val="45C15991"/>
    <w:rsid w:val="45CC1A1D"/>
    <w:rsid w:val="499D6C0E"/>
    <w:rsid w:val="4C309B15"/>
    <w:rsid w:val="4C4FD36A"/>
    <w:rsid w:val="4CCE9B25"/>
    <w:rsid w:val="4EF1395F"/>
    <w:rsid w:val="51BA1724"/>
    <w:rsid w:val="51D33F81"/>
    <w:rsid w:val="51D52ED4"/>
    <w:rsid w:val="51F06AA7"/>
    <w:rsid w:val="529FDC99"/>
    <w:rsid w:val="532525D4"/>
    <w:rsid w:val="5355E785"/>
    <w:rsid w:val="567A78F2"/>
    <w:rsid w:val="56CBC19B"/>
    <w:rsid w:val="57DBAF28"/>
    <w:rsid w:val="587BAB27"/>
    <w:rsid w:val="59DE5166"/>
    <w:rsid w:val="5A00870C"/>
    <w:rsid w:val="5A0EDA1E"/>
    <w:rsid w:val="5B16A94D"/>
    <w:rsid w:val="5C40CF10"/>
    <w:rsid w:val="60346A8D"/>
    <w:rsid w:val="6058FA37"/>
    <w:rsid w:val="62FA07EA"/>
    <w:rsid w:val="63364986"/>
    <w:rsid w:val="663BACF6"/>
    <w:rsid w:val="6773D2AE"/>
    <w:rsid w:val="686E3B63"/>
    <w:rsid w:val="6C8FF11E"/>
    <w:rsid w:val="6FA75FA6"/>
    <w:rsid w:val="700C6C8D"/>
    <w:rsid w:val="70CD969B"/>
    <w:rsid w:val="70E646CD"/>
    <w:rsid w:val="715CF8DF"/>
    <w:rsid w:val="71F1C605"/>
    <w:rsid w:val="721FA908"/>
    <w:rsid w:val="73F7CC4F"/>
    <w:rsid w:val="777FDD2A"/>
    <w:rsid w:val="7EEB5FDD"/>
    <w:rsid w:val="7F049414"/>
    <w:rsid w:val="7FC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C7BAE"/>
  <w15:docId w15:val="{9627302E-2A77-8E4E-B333-D81832F8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CC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CC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C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C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C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C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D1CC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D1CC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D1CC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D1CC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D1CC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D1CC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D1CC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D1CC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D1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CC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D1CC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C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D1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CC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D1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C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CC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D1C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C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58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82F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D45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youtu.be/Hht4TZ_Rrd4" TargetMode="External" Id="Rd49a2a500e4c4a1a" /><Relationship Type="http://schemas.openxmlformats.org/officeDocument/2006/relationships/hyperlink" Target="https://www.canva.com/design/DAGFmu77IoI/8TCkVeHZP39QXgUIGztTaA/edit?utm_content=DAGFmu77IoI&amp;utm_campaign=designshare&amp;utm_medium=link2&amp;utm_source=sharebutton" TargetMode="External" Id="R3d70b2aa65a74a04" /><Relationship Type="http://schemas.openxmlformats.org/officeDocument/2006/relationships/hyperlink" Target="https://www.lihomeless.org/coc-nofo" TargetMode="External" Id="Rd937b7a5111b45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9" ma:contentTypeDescription="Create a new document." ma:contentTypeScope="" ma:versionID="8ecee0020b5fa8ad0f9ec7f8fcdc35f2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c9fe08fe2d8453627a29ed138c3015df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Props1.xml><?xml version="1.0" encoding="utf-8"?>
<ds:datastoreItem xmlns:ds="http://schemas.openxmlformats.org/officeDocument/2006/customXml" ds:itemID="{6A5E7D63-B1BA-4AC9-B8D9-FE68C3415A58}"/>
</file>

<file path=customXml/itemProps2.xml><?xml version="1.0" encoding="utf-8"?>
<ds:datastoreItem xmlns:ds="http://schemas.openxmlformats.org/officeDocument/2006/customXml" ds:itemID="{5C4270F0-C59F-413C-96B7-9308FDB7FE7C}"/>
</file>

<file path=customXml/itemProps3.xml><?xml version="1.0" encoding="utf-8"?>
<ds:datastoreItem xmlns:ds="http://schemas.openxmlformats.org/officeDocument/2006/customXml" ds:itemID="{F8A0DE95-4DAC-4935-95B1-B860DEDC4F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 Licata</dc:creator>
  <keywords/>
  <dc:description/>
  <lastModifiedBy>Al Licata</lastModifiedBy>
  <revision>4</revision>
  <dcterms:created xsi:type="dcterms:W3CDTF">2024-05-15T18:09:00.0000000Z</dcterms:created>
  <dcterms:modified xsi:type="dcterms:W3CDTF">2024-06-10T19:40:25.6638062Z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MediaServiceImageTags">
    <vt:lpwstr/>
  </property>
</Properties>
</file>