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0542" w14:textId="77777777" w:rsidR="00F568FE" w:rsidRPr="00312F63" w:rsidRDefault="00F568FE" w:rsidP="00F568FE">
      <w:pPr>
        <w:jc w:val="center"/>
        <w:rPr>
          <w:b/>
          <w:sz w:val="22"/>
          <w:szCs w:val="22"/>
          <w:u w:val="single"/>
        </w:rPr>
      </w:pPr>
      <w:r w:rsidRPr="00312F63">
        <w:rPr>
          <w:b/>
          <w:sz w:val="22"/>
          <w:szCs w:val="22"/>
          <w:u w:val="single"/>
        </w:rPr>
        <w:t xml:space="preserve">Housing First Checklist </w:t>
      </w:r>
      <w:proofErr w:type="gramStart"/>
      <w:r w:rsidRPr="00312F63">
        <w:rPr>
          <w:b/>
          <w:sz w:val="22"/>
          <w:szCs w:val="22"/>
          <w:u w:val="single"/>
        </w:rPr>
        <w:t>And</w:t>
      </w:r>
      <w:proofErr w:type="gramEnd"/>
      <w:r w:rsidRPr="00312F63">
        <w:rPr>
          <w:b/>
          <w:sz w:val="22"/>
          <w:szCs w:val="22"/>
          <w:u w:val="single"/>
        </w:rPr>
        <w:t xml:space="preserve"> Certification</w:t>
      </w:r>
    </w:p>
    <w:p w14:paraId="7E4C7FC0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57CDF397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t xml:space="preserve">I, _____________________________, As President/CEO/Executive Director of _________________________, certify that the program known as ______________________ will include (new programs only)/has included (existing programs) all of the following into written program policy:  </w:t>
      </w:r>
    </w:p>
    <w:p w14:paraId="1306D807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089A34CD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Access to programs is not contingent on sobriety, minimum income requirements, lack of a criminal record, completion of treatment, participation in services, or other unnecessary conditions.</w:t>
      </w:r>
    </w:p>
    <w:p w14:paraId="1EE84F0D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512D7080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Programs or projects do everything possible not to reject an individual or family </w:t>
      </w:r>
      <w:proofErr w:type="gramStart"/>
      <w:r w:rsidRPr="00312F63">
        <w:rPr>
          <w:sz w:val="22"/>
          <w:szCs w:val="22"/>
        </w:rPr>
        <w:t>on the basis of</w:t>
      </w:r>
      <w:proofErr w:type="gramEnd"/>
      <w:r w:rsidRPr="00312F63">
        <w:rPr>
          <w:sz w:val="22"/>
          <w:szCs w:val="22"/>
        </w:rPr>
        <w:t xml:space="preserve"> poor credit or financial history, poor or lack of rental history, minor criminal convictions, or behaviors that are interpreted as indicating a lack of “housing readiness.” </w:t>
      </w:r>
    </w:p>
    <w:p w14:paraId="5741C2FA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10E1E0EB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People with disabilities are offered clear opportunities to request reasonable accommodations within applications and screening processes and during </w:t>
      </w:r>
      <w:proofErr w:type="gramStart"/>
      <w:r w:rsidRPr="00312F63">
        <w:rPr>
          <w:sz w:val="22"/>
          <w:szCs w:val="22"/>
        </w:rPr>
        <w:t>tenancy, and</w:t>
      </w:r>
      <w:proofErr w:type="gramEnd"/>
      <w:r w:rsidRPr="00312F63">
        <w:rPr>
          <w:sz w:val="22"/>
          <w:szCs w:val="22"/>
        </w:rPr>
        <w:t xml:space="preserve"> building and apartment units include special physical features that accommodate disabilities.</w:t>
      </w:r>
    </w:p>
    <w:p w14:paraId="447E40A8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t xml:space="preserve">                    </w:t>
      </w:r>
    </w:p>
    <w:p w14:paraId="3A834A18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Programs or projects that cannot serve someone work through the coordinated entry process to ensure that those individuals or families have access to housing and services elsewhere.</w:t>
      </w:r>
    </w:p>
    <w:p w14:paraId="59BE451F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736E9E42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Housing and service goals and plans are highly </w:t>
      </w:r>
      <w:proofErr w:type="gramStart"/>
      <w:r w:rsidRPr="00312F63">
        <w:rPr>
          <w:sz w:val="22"/>
          <w:szCs w:val="22"/>
        </w:rPr>
        <w:t>tenant-driven</w:t>
      </w:r>
      <w:proofErr w:type="gramEnd"/>
      <w:r w:rsidRPr="00312F63">
        <w:rPr>
          <w:sz w:val="22"/>
          <w:szCs w:val="22"/>
        </w:rPr>
        <w:t>.</w:t>
      </w:r>
    </w:p>
    <w:p w14:paraId="75BA4EAC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076910B4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Supportive services emphasize engagement and problem-solving over therapeutic goals.</w:t>
      </w:r>
    </w:p>
    <w:p w14:paraId="64B27260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2CDAB46D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Participation in services or compliance with service plans are not conditions of </w:t>
      </w:r>
      <w:proofErr w:type="gramStart"/>
      <w:r w:rsidRPr="00312F63">
        <w:rPr>
          <w:sz w:val="22"/>
          <w:szCs w:val="22"/>
        </w:rPr>
        <w:t>tenancy, but</w:t>
      </w:r>
      <w:proofErr w:type="gramEnd"/>
      <w:r w:rsidRPr="00312F63">
        <w:rPr>
          <w:sz w:val="22"/>
          <w:szCs w:val="22"/>
        </w:rPr>
        <w:t xml:space="preserve"> are reviewed with tenants and regularly offered as a resource to tenants. </w:t>
      </w:r>
    </w:p>
    <w:p w14:paraId="5D48947C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44753F8D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Services are informed by a harm-reduction philosophy that recognizes that drug and alcohol use and addiction are a part of some tenants’ lives. Tenants are engaged in non-judgmental communication regarding drug and alcohol use and are offered education regarding how to avoid risky behaviors and engage in safer practices.</w:t>
      </w:r>
    </w:p>
    <w:p w14:paraId="6113CA47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4F43FFA0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Substance use in and of itself, without other lease violations, is not considered a reason for eviction. </w:t>
      </w:r>
    </w:p>
    <w:p w14:paraId="7EB2844C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218A5C62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Tenants in supportive housing are given reasonable flexibility in paying their share of rent on time and offered special payment arrangements for rent arrears and/or assistance with financial management, including representative payee arrangements.</w:t>
      </w:r>
    </w:p>
    <w:p w14:paraId="5406F058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293F4A85" w14:textId="77777777" w:rsidR="00F568FE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sym w:font="Wingdings" w:char="F06F"/>
      </w:r>
      <w:r w:rsidRPr="00312F63">
        <w:rPr>
          <w:sz w:val="22"/>
          <w:szCs w:val="22"/>
        </w:rPr>
        <w:t xml:space="preserve"> Every effort is made to provide a tenant the opportunity to transfer from one housing situation, program, or project to another if a tenancy is in jeopardy. Whenever possible, eviction back into homelessness is avoided. </w:t>
      </w:r>
    </w:p>
    <w:p w14:paraId="7C1A8F07" w14:textId="77777777" w:rsidR="00F568FE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21EE0105" w14:textId="77777777" w:rsidR="00F568FE" w:rsidRPr="00594E06" w:rsidRDefault="00F568FE" w:rsidP="00F568FE">
      <w:pPr>
        <w:tabs>
          <w:tab w:val="left" w:pos="10170"/>
        </w:tabs>
        <w:ind w:left="-360"/>
        <w:rPr>
          <w:b/>
          <w:i/>
          <w:sz w:val="22"/>
          <w:szCs w:val="22"/>
          <w:u w:val="single"/>
        </w:rPr>
      </w:pPr>
      <w:r w:rsidRPr="00594E06">
        <w:rPr>
          <w:b/>
          <w:i/>
          <w:sz w:val="22"/>
          <w:szCs w:val="22"/>
          <w:u w:val="single"/>
        </w:rPr>
        <w:t xml:space="preserve">I understand that failure to comply with the regulations set forth by the COC related to </w:t>
      </w:r>
      <w:r>
        <w:rPr>
          <w:b/>
          <w:i/>
          <w:sz w:val="22"/>
          <w:szCs w:val="22"/>
          <w:u w:val="single"/>
        </w:rPr>
        <w:t>Coordinated Entry (</w:t>
      </w:r>
      <w:r w:rsidRPr="00594E06">
        <w:rPr>
          <w:b/>
          <w:i/>
          <w:sz w:val="22"/>
          <w:szCs w:val="22"/>
          <w:u w:val="single"/>
        </w:rPr>
        <w:t>CES</w:t>
      </w:r>
      <w:r>
        <w:rPr>
          <w:b/>
          <w:i/>
          <w:sz w:val="22"/>
          <w:szCs w:val="22"/>
          <w:u w:val="single"/>
        </w:rPr>
        <w:t>)</w:t>
      </w:r>
      <w:r w:rsidRPr="00594E06">
        <w:rPr>
          <w:b/>
          <w:i/>
          <w:sz w:val="22"/>
          <w:szCs w:val="22"/>
          <w:u w:val="single"/>
        </w:rPr>
        <w:t xml:space="preserve"> and Housing First will result in the agency’s forfeiture of </w:t>
      </w:r>
      <w:r>
        <w:rPr>
          <w:b/>
          <w:i/>
          <w:sz w:val="22"/>
          <w:szCs w:val="22"/>
          <w:u w:val="single"/>
        </w:rPr>
        <w:t xml:space="preserve">future </w:t>
      </w:r>
      <w:r w:rsidRPr="00594E06">
        <w:rPr>
          <w:b/>
          <w:i/>
          <w:sz w:val="22"/>
          <w:szCs w:val="22"/>
          <w:u w:val="single"/>
        </w:rPr>
        <w:t>funding for this program.</w:t>
      </w:r>
    </w:p>
    <w:p w14:paraId="42A9F1DC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t xml:space="preserve">                                              </w:t>
      </w:r>
    </w:p>
    <w:p w14:paraId="0CB064FC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t>**Applicants must provide documentation from program supporting the use of a Housing First approach, specifically:</w:t>
      </w:r>
    </w:p>
    <w:p w14:paraId="661EC5C7" w14:textId="77777777" w:rsidR="00F568FE" w:rsidRPr="00312F63" w:rsidRDefault="00F568FE" w:rsidP="00F568FE">
      <w:pPr>
        <w:numPr>
          <w:ilvl w:val="0"/>
          <w:numId w:val="1"/>
        </w:numPr>
        <w:ind w:left="-90"/>
        <w:rPr>
          <w:sz w:val="22"/>
          <w:szCs w:val="22"/>
        </w:rPr>
      </w:pPr>
      <w:r w:rsidRPr="00312F63">
        <w:rPr>
          <w:sz w:val="22"/>
          <w:szCs w:val="22"/>
        </w:rPr>
        <w:t xml:space="preserve">leases </w:t>
      </w:r>
    </w:p>
    <w:p w14:paraId="45963FE8" w14:textId="77777777" w:rsidR="00F568FE" w:rsidRPr="00312F63" w:rsidRDefault="00F568FE" w:rsidP="00F568FE">
      <w:pPr>
        <w:numPr>
          <w:ilvl w:val="0"/>
          <w:numId w:val="1"/>
        </w:numPr>
        <w:ind w:left="-90"/>
        <w:rPr>
          <w:sz w:val="22"/>
          <w:szCs w:val="22"/>
        </w:rPr>
      </w:pPr>
      <w:r w:rsidRPr="00312F63">
        <w:rPr>
          <w:sz w:val="22"/>
          <w:szCs w:val="22"/>
        </w:rPr>
        <w:t>subleases</w:t>
      </w:r>
    </w:p>
    <w:p w14:paraId="301E6E3D" w14:textId="77777777" w:rsidR="00F568FE" w:rsidRPr="00312F63" w:rsidRDefault="00F568FE" w:rsidP="00F568FE">
      <w:pPr>
        <w:numPr>
          <w:ilvl w:val="0"/>
          <w:numId w:val="1"/>
        </w:numPr>
        <w:ind w:left="-90"/>
        <w:rPr>
          <w:sz w:val="22"/>
          <w:szCs w:val="22"/>
        </w:rPr>
      </w:pPr>
      <w:r w:rsidRPr="00312F63">
        <w:rPr>
          <w:sz w:val="22"/>
          <w:szCs w:val="22"/>
        </w:rPr>
        <w:t xml:space="preserve">any “house rules” or “participant responsibilities” </w:t>
      </w:r>
    </w:p>
    <w:p w14:paraId="1A77F487" w14:textId="77777777" w:rsidR="00F568FE" w:rsidRPr="00312F63" w:rsidRDefault="00F568FE" w:rsidP="00F568FE">
      <w:pPr>
        <w:numPr>
          <w:ilvl w:val="0"/>
          <w:numId w:val="1"/>
        </w:numPr>
        <w:ind w:left="-90"/>
        <w:rPr>
          <w:b/>
          <w:sz w:val="22"/>
          <w:szCs w:val="22"/>
          <w:u w:val="single"/>
        </w:rPr>
      </w:pPr>
      <w:r w:rsidRPr="00312F63">
        <w:rPr>
          <w:sz w:val="22"/>
          <w:szCs w:val="22"/>
        </w:rPr>
        <w:t xml:space="preserve">Any other documents participants must sign for entry into or continued participation in the program </w:t>
      </w:r>
    </w:p>
    <w:p w14:paraId="06EC94C5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3D14061C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r w:rsidRPr="00312F63">
        <w:rPr>
          <w:sz w:val="22"/>
          <w:szCs w:val="22"/>
        </w:rPr>
        <w:t>NAME (PRINT</w:t>
      </w:r>
      <w:proofErr w:type="gramStart"/>
      <w:r w:rsidRPr="00312F63">
        <w:rPr>
          <w:sz w:val="22"/>
          <w:szCs w:val="22"/>
        </w:rPr>
        <w:t>):_</w:t>
      </w:r>
      <w:proofErr w:type="gramEnd"/>
      <w:r w:rsidRPr="00312F63">
        <w:rPr>
          <w:sz w:val="22"/>
          <w:szCs w:val="22"/>
        </w:rPr>
        <w:t>_______________________________________________</w:t>
      </w:r>
    </w:p>
    <w:p w14:paraId="443B3105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</w:p>
    <w:p w14:paraId="2DD46648" w14:textId="77777777" w:rsidR="00F568FE" w:rsidRPr="00312F63" w:rsidRDefault="00F568FE" w:rsidP="00F568FE">
      <w:pPr>
        <w:tabs>
          <w:tab w:val="left" w:pos="10170"/>
        </w:tabs>
        <w:ind w:left="-360"/>
        <w:rPr>
          <w:sz w:val="22"/>
          <w:szCs w:val="22"/>
        </w:rPr>
      </w:pPr>
      <w:proofErr w:type="gramStart"/>
      <w:r w:rsidRPr="00312F63">
        <w:rPr>
          <w:sz w:val="22"/>
          <w:szCs w:val="22"/>
        </w:rPr>
        <w:t>SIGNATURE:_</w:t>
      </w:r>
      <w:proofErr w:type="gramEnd"/>
      <w:r w:rsidRPr="00312F63">
        <w:rPr>
          <w:sz w:val="22"/>
          <w:szCs w:val="22"/>
        </w:rPr>
        <w:t>____________________________________________    DATE:______________________________</w:t>
      </w:r>
    </w:p>
    <w:p w14:paraId="4864AD59" w14:textId="77777777" w:rsidR="00F568FE" w:rsidRPr="00124FD5" w:rsidRDefault="00F568FE" w:rsidP="00F568FE">
      <w:pPr>
        <w:jc w:val="center"/>
        <w:rPr>
          <w:b/>
          <w:sz w:val="28"/>
          <w:szCs w:val="28"/>
        </w:rPr>
      </w:pPr>
    </w:p>
    <w:p w14:paraId="75DB9D3A" w14:textId="77777777" w:rsidR="00D00E8E" w:rsidRDefault="00D00E8E"/>
    <w:sectPr w:rsidR="00D00E8E" w:rsidSect="00F56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9A7"/>
    <w:multiLevelType w:val="hybridMultilevel"/>
    <w:tmpl w:val="6182582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FE"/>
    <w:rsid w:val="007D5C9F"/>
    <w:rsid w:val="00D00E8E"/>
    <w:rsid w:val="00F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83D5"/>
  <w15:chartTrackingRefBased/>
  <w15:docId w15:val="{4A74D754-2BEC-4A6C-A200-3E0A4F3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7" ma:contentTypeDescription="Create a new document." ma:contentTypeScope="" ma:versionID="f58d0ced74f5852ff39fd3f9ad79ee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57fff187e0220861e0eeaf5460120311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/>
  </documentManagement>
</p:properties>
</file>

<file path=customXml/itemProps1.xml><?xml version="1.0" encoding="utf-8"?>
<ds:datastoreItem xmlns:ds="http://schemas.openxmlformats.org/officeDocument/2006/customXml" ds:itemID="{9482BB8E-4372-4B41-A6F6-7F5821037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B2B02-2449-4287-BFAC-6B252D75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002E6-3BB5-4B00-9F10-C8F50691E0AD}">
  <ds:schemaRefs>
    <ds:schemaRef ds:uri="http://schemas.microsoft.com/office/2006/metadata/properties"/>
    <ds:schemaRef ds:uri="http://schemas.microsoft.com/office/infopath/2007/PartnerControls"/>
    <ds:schemaRef ds:uri="a2d4b7a3-f851-41e8-99d5-1619c4311944"/>
    <ds:schemaRef ds:uri="0c408069-27ef-456c-b32e-53750250f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Al Licata</cp:lastModifiedBy>
  <cp:revision>2</cp:revision>
  <dcterms:created xsi:type="dcterms:W3CDTF">2022-07-29T14:14:00Z</dcterms:created>
  <dcterms:modified xsi:type="dcterms:W3CDTF">2022-07-29T14:14:00Z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