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2491" w14:textId="66E766A8" w:rsidR="000441FD" w:rsidRDefault="00F02E5A" w:rsidP="008E2A07">
      <w:pPr>
        <w:jc w:val="center"/>
        <w:rPr>
          <w:b/>
          <w:sz w:val="32"/>
          <w:szCs w:val="32"/>
        </w:rPr>
      </w:pPr>
      <w:r w:rsidRPr="00DE40A4">
        <w:rPr>
          <w:b/>
          <w:sz w:val="32"/>
          <w:szCs w:val="32"/>
        </w:rPr>
        <w:t>NY-603 C</w:t>
      </w:r>
      <w:r w:rsidR="00347F7B">
        <w:rPr>
          <w:b/>
          <w:sz w:val="32"/>
          <w:szCs w:val="32"/>
        </w:rPr>
        <w:t xml:space="preserve">oordinated Entry PSH </w:t>
      </w:r>
      <w:r w:rsidRPr="00DE40A4">
        <w:rPr>
          <w:b/>
          <w:sz w:val="32"/>
          <w:szCs w:val="32"/>
        </w:rPr>
        <w:t>Transfer</w:t>
      </w:r>
      <w:r w:rsidR="004369CB">
        <w:rPr>
          <w:b/>
          <w:sz w:val="32"/>
          <w:szCs w:val="32"/>
        </w:rPr>
        <w:t xml:space="preserve"> and </w:t>
      </w:r>
      <w:r w:rsidR="00347F7B">
        <w:rPr>
          <w:b/>
          <w:sz w:val="32"/>
          <w:szCs w:val="32"/>
        </w:rPr>
        <w:t xml:space="preserve">RRH </w:t>
      </w:r>
      <w:r w:rsidR="00996E34">
        <w:rPr>
          <w:b/>
          <w:sz w:val="32"/>
          <w:szCs w:val="32"/>
        </w:rPr>
        <w:t>Bridge</w:t>
      </w:r>
      <w:r w:rsidR="00347F7B">
        <w:rPr>
          <w:b/>
          <w:sz w:val="32"/>
          <w:szCs w:val="32"/>
        </w:rPr>
        <w:t xml:space="preserve"> </w:t>
      </w:r>
      <w:r w:rsidR="000A1A38">
        <w:rPr>
          <w:b/>
          <w:sz w:val="32"/>
          <w:szCs w:val="32"/>
        </w:rPr>
        <w:t>Referral</w:t>
      </w:r>
      <w:r w:rsidRPr="00DE40A4">
        <w:rPr>
          <w:b/>
          <w:sz w:val="32"/>
          <w:szCs w:val="32"/>
        </w:rPr>
        <w:t xml:space="preserve"> Policy </w:t>
      </w:r>
      <w:r w:rsidR="00965B4A">
        <w:rPr>
          <w:b/>
          <w:sz w:val="32"/>
          <w:szCs w:val="32"/>
        </w:rPr>
        <w:t>for</w:t>
      </w:r>
      <w:r w:rsidR="000441FD">
        <w:rPr>
          <w:b/>
          <w:sz w:val="32"/>
          <w:szCs w:val="32"/>
        </w:rPr>
        <w:t xml:space="preserve"> Emergency Housing Vouchers</w:t>
      </w:r>
      <w:r w:rsidR="000F7C32">
        <w:rPr>
          <w:b/>
          <w:sz w:val="32"/>
          <w:szCs w:val="32"/>
        </w:rPr>
        <w:t xml:space="preserve"> (EHV)</w:t>
      </w:r>
    </w:p>
    <w:p w14:paraId="2B950CC1" w14:textId="77777777" w:rsidR="007A0136" w:rsidRDefault="007A0136" w:rsidP="008E2A07">
      <w:pPr>
        <w:jc w:val="center"/>
        <w:rPr>
          <w:b/>
          <w:sz w:val="32"/>
          <w:szCs w:val="32"/>
        </w:rPr>
      </w:pPr>
    </w:p>
    <w:p w14:paraId="19F941B1" w14:textId="654F3990" w:rsidR="007A0136" w:rsidRPr="002D1A12" w:rsidRDefault="007A0136" w:rsidP="00C911C4">
      <w:pPr>
        <w:rPr>
          <w:bCs/>
          <w:sz w:val="28"/>
          <w:szCs w:val="28"/>
        </w:rPr>
      </w:pPr>
      <w:r w:rsidRPr="002D1A12">
        <w:rPr>
          <w:bCs/>
          <w:sz w:val="28"/>
          <w:szCs w:val="28"/>
        </w:rPr>
        <w:t>All EHV</w:t>
      </w:r>
      <w:r w:rsidR="00C911C4" w:rsidRPr="002D1A12">
        <w:rPr>
          <w:bCs/>
          <w:sz w:val="28"/>
          <w:szCs w:val="28"/>
        </w:rPr>
        <w:t xml:space="preserve"> resources must go through Coordinated Entry</w:t>
      </w:r>
      <w:r w:rsidR="009B17D8">
        <w:rPr>
          <w:bCs/>
          <w:sz w:val="28"/>
          <w:szCs w:val="28"/>
        </w:rPr>
        <w:t xml:space="preserve"> and CoCs can locally determine needs and prioritization for EHV.</w:t>
      </w:r>
    </w:p>
    <w:p w14:paraId="534CBA3A" w14:textId="5BA84F52" w:rsidR="00C911C4" w:rsidRPr="002D1A12" w:rsidRDefault="00C911C4" w:rsidP="00C911C4">
      <w:pPr>
        <w:rPr>
          <w:bCs/>
          <w:sz w:val="28"/>
          <w:szCs w:val="28"/>
        </w:rPr>
      </w:pPr>
      <w:r w:rsidRPr="002D1A12">
        <w:rPr>
          <w:bCs/>
          <w:sz w:val="28"/>
          <w:szCs w:val="28"/>
        </w:rPr>
        <w:t xml:space="preserve">Housing Choice Voucher Fact Sheet: </w:t>
      </w:r>
      <w:hyperlink r:id="rId10" w:history="1">
        <w:r w:rsidRPr="002D1A12">
          <w:rPr>
            <w:bCs/>
            <w:sz w:val="28"/>
            <w:szCs w:val="28"/>
          </w:rPr>
          <w:t>https://www.hud.gov/program_offices/public_indian_housing/programs/hcv/about/fact_sheet</w:t>
        </w:r>
      </w:hyperlink>
      <w:r w:rsidR="0040108B">
        <w:rPr>
          <w:bCs/>
          <w:sz w:val="28"/>
          <w:szCs w:val="28"/>
        </w:rPr>
        <w:t xml:space="preserve"> </w:t>
      </w:r>
      <w:r w:rsidR="00D2573A">
        <w:rPr>
          <w:bCs/>
          <w:sz w:val="28"/>
          <w:szCs w:val="28"/>
        </w:rPr>
        <w:t xml:space="preserve"> </w:t>
      </w:r>
    </w:p>
    <w:p w14:paraId="12DC691E" w14:textId="2E36873E" w:rsidR="00F31437" w:rsidRPr="00DA65E8" w:rsidRDefault="007C6118" w:rsidP="00C911C4">
      <w:pPr>
        <w:rPr>
          <w:b/>
          <w:sz w:val="28"/>
          <w:szCs w:val="28"/>
        </w:rPr>
      </w:pPr>
      <w:r>
        <w:rPr>
          <w:b/>
          <w:sz w:val="28"/>
          <w:szCs w:val="28"/>
        </w:rPr>
        <w:t xml:space="preserve">General </w:t>
      </w:r>
      <w:r w:rsidR="00F31437" w:rsidRPr="00DA65E8">
        <w:rPr>
          <w:b/>
          <w:sz w:val="28"/>
          <w:szCs w:val="28"/>
        </w:rPr>
        <w:t>EHV Eligibility:</w:t>
      </w:r>
    </w:p>
    <w:p w14:paraId="64698EC6" w14:textId="785F7F83" w:rsidR="00F31437" w:rsidRPr="00F31437" w:rsidRDefault="0011736D" w:rsidP="002D1A12">
      <w:pPr>
        <w:rPr>
          <w:bCs/>
          <w:sz w:val="28"/>
          <w:szCs w:val="28"/>
        </w:rPr>
      </w:pPr>
      <w:r w:rsidRPr="002D1A12">
        <w:rPr>
          <w:bCs/>
          <w:sz w:val="28"/>
          <w:szCs w:val="28"/>
        </w:rPr>
        <w:t>The Emergency Housing Voucher (EHV) program is available through the American Rescue Plan Act (ARPA). Through EHV, HUD is providing 70,000 housing choice vouchers to local Public Housing Authorities (PHAs) in order to assist individuals and families who are:</w:t>
      </w:r>
    </w:p>
    <w:p w14:paraId="4097388B" w14:textId="69D5FD5C" w:rsidR="00F31437" w:rsidRPr="00A13157" w:rsidRDefault="00F31437" w:rsidP="00A13157">
      <w:pPr>
        <w:pStyle w:val="ListParagraph"/>
        <w:numPr>
          <w:ilvl w:val="0"/>
          <w:numId w:val="15"/>
        </w:numPr>
        <w:rPr>
          <w:bCs/>
          <w:sz w:val="28"/>
          <w:szCs w:val="28"/>
        </w:rPr>
      </w:pPr>
      <w:r w:rsidRPr="00A13157">
        <w:rPr>
          <w:bCs/>
          <w:sz w:val="28"/>
          <w:szCs w:val="28"/>
        </w:rPr>
        <w:t>Homeless</w:t>
      </w:r>
    </w:p>
    <w:p w14:paraId="0460F495" w14:textId="77777777" w:rsidR="00F31437" w:rsidRPr="00DA65E8" w:rsidRDefault="00F31437" w:rsidP="00DA65E8">
      <w:pPr>
        <w:pStyle w:val="ListParagraph"/>
        <w:numPr>
          <w:ilvl w:val="0"/>
          <w:numId w:val="15"/>
        </w:numPr>
        <w:rPr>
          <w:bCs/>
          <w:sz w:val="28"/>
          <w:szCs w:val="28"/>
        </w:rPr>
      </w:pPr>
      <w:r w:rsidRPr="00DA65E8">
        <w:rPr>
          <w:bCs/>
          <w:sz w:val="28"/>
          <w:szCs w:val="28"/>
        </w:rPr>
        <w:t>At-risk of Homelessness</w:t>
      </w:r>
    </w:p>
    <w:p w14:paraId="1693A191" w14:textId="77777777" w:rsidR="00F31437" w:rsidRPr="00DA65E8" w:rsidRDefault="00F31437" w:rsidP="00DA65E8">
      <w:pPr>
        <w:pStyle w:val="ListParagraph"/>
        <w:numPr>
          <w:ilvl w:val="0"/>
          <w:numId w:val="15"/>
        </w:numPr>
        <w:rPr>
          <w:bCs/>
          <w:sz w:val="28"/>
          <w:szCs w:val="28"/>
        </w:rPr>
      </w:pPr>
      <w:r w:rsidRPr="00DA65E8">
        <w:rPr>
          <w:bCs/>
          <w:sz w:val="28"/>
          <w:szCs w:val="28"/>
        </w:rPr>
        <w:t>Fleeing, or attempting to flee, domestic violence, dating violence, sexual assault, stalking, or human trafficking</w:t>
      </w:r>
    </w:p>
    <w:p w14:paraId="38A9FC50" w14:textId="0087A79A" w:rsidR="00F31437" w:rsidRDefault="00F31437" w:rsidP="00DA65E8">
      <w:pPr>
        <w:pStyle w:val="ListParagraph"/>
        <w:numPr>
          <w:ilvl w:val="0"/>
          <w:numId w:val="15"/>
        </w:numPr>
        <w:rPr>
          <w:bCs/>
          <w:sz w:val="28"/>
          <w:szCs w:val="28"/>
        </w:rPr>
      </w:pPr>
      <w:r w:rsidRPr="00DA65E8">
        <w:rPr>
          <w:bCs/>
          <w:sz w:val="28"/>
          <w:szCs w:val="28"/>
        </w:rPr>
        <w:t>Recently homeless and for whom providing rental assistance will prevent homelessness or having high risk of housing instability, including clients in rapid rehousing and permanent supportive housing programs</w:t>
      </w:r>
    </w:p>
    <w:p w14:paraId="0F457C3D" w14:textId="77777777" w:rsidR="00FF5F6C" w:rsidRPr="007C6118" w:rsidRDefault="00F51373" w:rsidP="00F51373">
      <w:pPr>
        <w:rPr>
          <w:b/>
          <w:sz w:val="28"/>
          <w:szCs w:val="28"/>
        </w:rPr>
      </w:pPr>
      <w:r w:rsidRPr="007C6118">
        <w:rPr>
          <w:b/>
          <w:sz w:val="28"/>
          <w:szCs w:val="28"/>
        </w:rPr>
        <w:t xml:space="preserve">EHVs will be available through Coordinated Entry </w:t>
      </w:r>
      <w:r w:rsidR="00396ADB" w:rsidRPr="007C6118">
        <w:rPr>
          <w:b/>
          <w:sz w:val="28"/>
          <w:szCs w:val="28"/>
        </w:rPr>
        <w:t>for</w:t>
      </w:r>
      <w:r w:rsidR="00FF5F6C" w:rsidRPr="007C6118">
        <w:rPr>
          <w:b/>
          <w:sz w:val="28"/>
          <w:szCs w:val="28"/>
        </w:rPr>
        <w:t>:</w:t>
      </w:r>
      <w:r w:rsidR="00396ADB" w:rsidRPr="007C6118">
        <w:rPr>
          <w:b/>
          <w:sz w:val="28"/>
          <w:szCs w:val="28"/>
        </w:rPr>
        <w:t xml:space="preserve"> </w:t>
      </w:r>
    </w:p>
    <w:p w14:paraId="46162293" w14:textId="77777777" w:rsidR="00FF5F6C" w:rsidRDefault="00396ADB" w:rsidP="00F51373">
      <w:pPr>
        <w:rPr>
          <w:bCs/>
          <w:sz w:val="28"/>
          <w:szCs w:val="28"/>
        </w:rPr>
      </w:pPr>
      <w:r>
        <w:rPr>
          <w:bCs/>
          <w:sz w:val="28"/>
          <w:szCs w:val="28"/>
        </w:rPr>
        <w:t>Town of Brookhaven (24 vouchers)</w:t>
      </w:r>
      <w:r w:rsidR="00FF5F6C">
        <w:rPr>
          <w:bCs/>
          <w:sz w:val="28"/>
          <w:szCs w:val="28"/>
        </w:rPr>
        <w:t>;</w:t>
      </w:r>
    </w:p>
    <w:p w14:paraId="19AA8532" w14:textId="20AF9F98" w:rsidR="00FF5F6C" w:rsidRDefault="00396ADB" w:rsidP="00F51373">
      <w:pPr>
        <w:rPr>
          <w:bCs/>
          <w:sz w:val="28"/>
          <w:szCs w:val="28"/>
        </w:rPr>
      </w:pPr>
      <w:r>
        <w:rPr>
          <w:bCs/>
          <w:sz w:val="28"/>
          <w:szCs w:val="28"/>
        </w:rPr>
        <w:t>Village of Hempstead (17 vouchers)</w:t>
      </w:r>
      <w:r w:rsidR="00FF5F6C">
        <w:rPr>
          <w:bCs/>
          <w:sz w:val="28"/>
          <w:szCs w:val="28"/>
        </w:rPr>
        <w:t>;</w:t>
      </w:r>
      <w:r>
        <w:rPr>
          <w:bCs/>
          <w:sz w:val="28"/>
          <w:szCs w:val="28"/>
        </w:rPr>
        <w:t xml:space="preserve"> </w:t>
      </w:r>
      <w:r w:rsidR="00104E76">
        <w:rPr>
          <w:bCs/>
          <w:sz w:val="28"/>
          <w:szCs w:val="28"/>
        </w:rPr>
        <w:t>and</w:t>
      </w:r>
    </w:p>
    <w:p w14:paraId="5EEC5E97" w14:textId="7C27FD8E" w:rsidR="00F51373" w:rsidRPr="00F51373" w:rsidRDefault="0060087F" w:rsidP="00F51373">
      <w:pPr>
        <w:rPr>
          <w:bCs/>
          <w:sz w:val="28"/>
          <w:szCs w:val="28"/>
        </w:rPr>
      </w:pPr>
      <w:r>
        <w:rPr>
          <w:bCs/>
          <w:sz w:val="28"/>
          <w:szCs w:val="28"/>
        </w:rPr>
        <w:t>New York State/OTDA (shared voucher allocation</w:t>
      </w:r>
      <w:r w:rsidR="006A6D9E">
        <w:rPr>
          <w:bCs/>
          <w:sz w:val="28"/>
          <w:szCs w:val="28"/>
        </w:rPr>
        <w:t>-</w:t>
      </w:r>
      <w:r w:rsidR="002E352A">
        <w:rPr>
          <w:bCs/>
          <w:sz w:val="28"/>
          <w:szCs w:val="28"/>
        </w:rPr>
        <w:t xml:space="preserve"> </w:t>
      </w:r>
      <w:r w:rsidR="006A6D9E">
        <w:rPr>
          <w:bCs/>
          <w:sz w:val="28"/>
          <w:szCs w:val="28"/>
        </w:rPr>
        <w:t>number of vouchers for L</w:t>
      </w:r>
      <w:r w:rsidR="004D5046">
        <w:rPr>
          <w:bCs/>
          <w:sz w:val="28"/>
          <w:szCs w:val="28"/>
        </w:rPr>
        <w:t xml:space="preserve">ong Island TBD </w:t>
      </w:r>
      <w:r w:rsidR="002E352A">
        <w:rPr>
          <w:bCs/>
          <w:sz w:val="28"/>
          <w:szCs w:val="28"/>
        </w:rPr>
        <w:t>dependent on efficacy of application submissions and quick lease ups</w:t>
      </w:r>
      <w:r>
        <w:rPr>
          <w:bCs/>
          <w:sz w:val="28"/>
          <w:szCs w:val="28"/>
        </w:rPr>
        <w:t xml:space="preserve"> between Suffolk County, Nassau County, Westchester, and </w:t>
      </w:r>
      <w:r w:rsidR="007B535C">
        <w:rPr>
          <w:bCs/>
          <w:sz w:val="28"/>
          <w:szCs w:val="28"/>
        </w:rPr>
        <w:t>Rockland County</w:t>
      </w:r>
      <w:r>
        <w:rPr>
          <w:bCs/>
          <w:sz w:val="28"/>
          <w:szCs w:val="28"/>
        </w:rPr>
        <w:t>)</w:t>
      </w:r>
    </w:p>
    <w:p w14:paraId="5790D7AC" w14:textId="40E16D26" w:rsidR="00104E76" w:rsidRPr="007C6118" w:rsidRDefault="00903949" w:rsidP="00C911C4">
      <w:pPr>
        <w:rPr>
          <w:b/>
          <w:sz w:val="28"/>
          <w:szCs w:val="28"/>
        </w:rPr>
      </w:pPr>
      <w:r>
        <w:rPr>
          <w:b/>
          <w:sz w:val="28"/>
          <w:szCs w:val="28"/>
        </w:rPr>
        <w:t xml:space="preserve">Locally, </w:t>
      </w:r>
      <w:r w:rsidR="004A4688" w:rsidRPr="007C6118">
        <w:rPr>
          <w:b/>
          <w:sz w:val="28"/>
          <w:szCs w:val="28"/>
        </w:rPr>
        <w:t>NY-603 will target and prioritize all EHV resources for</w:t>
      </w:r>
      <w:r w:rsidR="00104E76" w:rsidRPr="007C6118">
        <w:rPr>
          <w:b/>
          <w:sz w:val="28"/>
          <w:szCs w:val="28"/>
        </w:rPr>
        <w:t>:</w:t>
      </w:r>
    </w:p>
    <w:p w14:paraId="6F9D4C8A" w14:textId="6997765F" w:rsidR="00104E76" w:rsidRDefault="00104E76" w:rsidP="00C911C4">
      <w:pPr>
        <w:rPr>
          <w:bCs/>
          <w:sz w:val="28"/>
          <w:szCs w:val="28"/>
        </w:rPr>
      </w:pPr>
      <w:r>
        <w:rPr>
          <w:bCs/>
          <w:sz w:val="28"/>
          <w:szCs w:val="28"/>
        </w:rPr>
        <w:t>HUD h</w:t>
      </w:r>
      <w:r w:rsidR="001435ED" w:rsidRPr="002D1A12">
        <w:rPr>
          <w:bCs/>
          <w:sz w:val="28"/>
          <w:szCs w:val="28"/>
        </w:rPr>
        <w:t xml:space="preserve">omeless </w:t>
      </w:r>
      <w:r w:rsidR="0081315C">
        <w:rPr>
          <w:bCs/>
          <w:sz w:val="28"/>
          <w:szCs w:val="28"/>
        </w:rPr>
        <w:t>household</w:t>
      </w:r>
      <w:r w:rsidR="001435ED" w:rsidRPr="002D1A12">
        <w:rPr>
          <w:bCs/>
          <w:sz w:val="28"/>
          <w:szCs w:val="28"/>
        </w:rPr>
        <w:t>s</w:t>
      </w:r>
      <w:r w:rsidR="00927854">
        <w:rPr>
          <w:bCs/>
          <w:sz w:val="28"/>
          <w:szCs w:val="28"/>
        </w:rPr>
        <w:t xml:space="preserve"> (homeless)</w:t>
      </w:r>
      <w:r>
        <w:rPr>
          <w:bCs/>
          <w:sz w:val="28"/>
          <w:szCs w:val="28"/>
        </w:rPr>
        <w:t>;</w:t>
      </w:r>
      <w:r w:rsidR="001435ED" w:rsidRPr="002D1A12">
        <w:rPr>
          <w:bCs/>
          <w:sz w:val="28"/>
          <w:szCs w:val="28"/>
        </w:rPr>
        <w:t xml:space="preserve"> </w:t>
      </w:r>
    </w:p>
    <w:p w14:paraId="10275FD7" w14:textId="163B14D1" w:rsidR="00104E76" w:rsidRDefault="00104E76" w:rsidP="00C911C4">
      <w:pPr>
        <w:rPr>
          <w:bCs/>
          <w:sz w:val="28"/>
          <w:szCs w:val="28"/>
        </w:rPr>
      </w:pPr>
      <w:r>
        <w:rPr>
          <w:bCs/>
          <w:sz w:val="28"/>
          <w:szCs w:val="28"/>
        </w:rPr>
        <w:t>H</w:t>
      </w:r>
      <w:r w:rsidR="00967A51">
        <w:rPr>
          <w:bCs/>
          <w:sz w:val="28"/>
          <w:szCs w:val="28"/>
        </w:rPr>
        <w:t>ouseholds</w:t>
      </w:r>
      <w:r w:rsidR="001435ED" w:rsidRPr="002D1A12">
        <w:rPr>
          <w:bCs/>
          <w:sz w:val="28"/>
          <w:szCs w:val="28"/>
        </w:rPr>
        <w:t xml:space="preserve"> actively fleeing DV</w:t>
      </w:r>
      <w:r w:rsidR="00927854">
        <w:rPr>
          <w:bCs/>
          <w:sz w:val="28"/>
          <w:szCs w:val="28"/>
        </w:rPr>
        <w:t xml:space="preserve"> (DV)</w:t>
      </w:r>
      <w:r>
        <w:rPr>
          <w:bCs/>
          <w:sz w:val="28"/>
          <w:szCs w:val="28"/>
        </w:rPr>
        <w:t>;</w:t>
      </w:r>
    </w:p>
    <w:p w14:paraId="79CAFAC2" w14:textId="77777777" w:rsidR="00104E76" w:rsidRDefault="00500B54" w:rsidP="00C911C4">
      <w:pPr>
        <w:rPr>
          <w:bCs/>
          <w:sz w:val="28"/>
          <w:szCs w:val="28"/>
        </w:rPr>
      </w:pPr>
      <w:r w:rsidRPr="002D1A12">
        <w:rPr>
          <w:bCs/>
          <w:sz w:val="28"/>
          <w:szCs w:val="28"/>
        </w:rPr>
        <w:t>RRH households that would be at risk of sustaining housing after program end</w:t>
      </w:r>
      <w:r w:rsidR="00927854">
        <w:rPr>
          <w:bCs/>
          <w:sz w:val="28"/>
          <w:szCs w:val="28"/>
        </w:rPr>
        <w:t xml:space="preserve"> (at-risk of homelessness</w:t>
      </w:r>
      <w:r w:rsidR="0046733E">
        <w:rPr>
          <w:bCs/>
          <w:sz w:val="28"/>
          <w:szCs w:val="28"/>
        </w:rPr>
        <w:t>, clients in RRH</w:t>
      </w:r>
      <w:r w:rsidR="00927854">
        <w:rPr>
          <w:bCs/>
          <w:sz w:val="28"/>
          <w:szCs w:val="28"/>
        </w:rPr>
        <w:t>)</w:t>
      </w:r>
      <w:r w:rsidR="00104E76">
        <w:rPr>
          <w:bCs/>
          <w:sz w:val="28"/>
          <w:szCs w:val="28"/>
        </w:rPr>
        <w:t>;</w:t>
      </w:r>
      <w:r w:rsidRPr="002D1A12">
        <w:rPr>
          <w:bCs/>
          <w:sz w:val="28"/>
          <w:szCs w:val="28"/>
        </w:rPr>
        <w:t xml:space="preserve"> and </w:t>
      </w:r>
    </w:p>
    <w:p w14:paraId="0D7879CD" w14:textId="219F5D4C" w:rsidR="00F31437" w:rsidRPr="002D1A12" w:rsidRDefault="00500B54" w:rsidP="00C911C4">
      <w:pPr>
        <w:rPr>
          <w:bCs/>
          <w:sz w:val="28"/>
          <w:szCs w:val="28"/>
        </w:rPr>
      </w:pPr>
      <w:r w:rsidRPr="002D1A12">
        <w:rPr>
          <w:bCs/>
          <w:sz w:val="28"/>
          <w:szCs w:val="28"/>
        </w:rPr>
        <w:t>PSH households that are stably housed and interested in moving on from PSH with a voucher</w:t>
      </w:r>
      <w:r w:rsidR="0046733E">
        <w:rPr>
          <w:bCs/>
          <w:sz w:val="28"/>
          <w:szCs w:val="28"/>
        </w:rPr>
        <w:t xml:space="preserve"> (clients in PSH)</w:t>
      </w:r>
      <w:r w:rsidRPr="002D1A12">
        <w:rPr>
          <w:bCs/>
          <w:sz w:val="28"/>
          <w:szCs w:val="28"/>
        </w:rPr>
        <w:t xml:space="preserve">. </w:t>
      </w:r>
    </w:p>
    <w:p w14:paraId="79C03996" w14:textId="5A9EB88A" w:rsidR="00C911C4" w:rsidRPr="00965652" w:rsidRDefault="00F56264" w:rsidP="00F56264">
      <w:pPr>
        <w:rPr>
          <w:b/>
          <w:sz w:val="28"/>
          <w:szCs w:val="28"/>
        </w:rPr>
      </w:pPr>
      <w:r w:rsidRPr="00965652">
        <w:rPr>
          <w:b/>
          <w:sz w:val="28"/>
          <w:szCs w:val="28"/>
        </w:rPr>
        <w:lastRenderedPageBreak/>
        <w:t xml:space="preserve">Threshold Criteria for </w:t>
      </w:r>
      <w:r w:rsidR="00601BF1">
        <w:rPr>
          <w:b/>
          <w:sz w:val="28"/>
          <w:szCs w:val="28"/>
        </w:rPr>
        <w:t>PHA</w:t>
      </w:r>
      <w:r w:rsidR="00651360">
        <w:rPr>
          <w:b/>
          <w:sz w:val="28"/>
          <w:szCs w:val="28"/>
        </w:rPr>
        <w:t xml:space="preserve"> A</w:t>
      </w:r>
      <w:r w:rsidRPr="00965652">
        <w:rPr>
          <w:b/>
          <w:sz w:val="28"/>
          <w:szCs w:val="28"/>
        </w:rPr>
        <w:t>pplicants:</w:t>
      </w:r>
    </w:p>
    <w:p w14:paraId="5E236328" w14:textId="10326162" w:rsidR="00FE2FD6" w:rsidRPr="00F772D0" w:rsidRDefault="004E0327" w:rsidP="00F772D0">
      <w:pPr>
        <w:pStyle w:val="ListParagraph"/>
        <w:numPr>
          <w:ilvl w:val="0"/>
          <w:numId w:val="14"/>
        </w:numPr>
        <w:rPr>
          <w:bCs/>
          <w:sz w:val="28"/>
          <w:szCs w:val="28"/>
        </w:rPr>
      </w:pPr>
      <w:r>
        <w:rPr>
          <w:bCs/>
          <w:sz w:val="28"/>
          <w:szCs w:val="28"/>
        </w:rPr>
        <w:t>No m</w:t>
      </w:r>
      <w:r w:rsidR="00FE2FD6" w:rsidRPr="00617731">
        <w:rPr>
          <w:bCs/>
          <w:sz w:val="28"/>
          <w:szCs w:val="28"/>
        </w:rPr>
        <w:t>ethamphetamine manufacturers on premises of federally assisted housing.</w:t>
      </w:r>
      <w:r w:rsidR="00FE2FD6" w:rsidRPr="00F772D0">
        <w:rPr>
          <w:bCs/>
          <w:sz w:val="28"/>
          <w:szCs w:val="28"/>
        </w:rPr>
        <w:t xml:space="preserve"> </w:t>
      </w:r>
    </w:p>
    <w:p w14:paraId="68A67E25" w14:textId="7C8527A4" w:rsidR="00617731" w:rsidRPr="00F772D0" w:rsidRDefault="004E0327" w:rsidP="00617731">
      <w:pPr>
        <w:pStyle w:val="ListParagraph"/>
        <w:numPr>
          <w:ilvl w:val="0"/>
          <w:numId w:val="14"/>
        </w:numPr>
        <w:rPr>
          <w:bCs/>
          <w:sz w:val="28"/>
          <w:szCs w:val="28"/>
        </w:rPr>
      </w:pPr>
      <w:r>
        <w:rPr>
          <w:bCs/>
          <w:sz w:val="28"/>
          <w:szCs w:val="28"/>
        </w:rPr>
        <w:t>No s</w:t>
      </w:r>
      <w:r w:rsidR="00FE2FD6" w:rsidRPr="00617731">
        <w:rPr>
          <w:bCs/>
          <w:sz w:val="28"/>
          <w:szCs w:val="28"/>
        </w:rPr>
        <w:t xml:space="preserve">ex offenders subject to a lifetime registration under a state sex offender registration program. The nationwide sex offender registration check will be conducted online using a database available at www.nsopw.gov (PIH Notice 2012-28). </w:t>
      </w:r>
    </w:p>
    <w:p w14:paraId="6E40A6D6" w14:textId="30FA17C4" w:rsidR="00FE2FD6" w:rsidRPr="00617731" w:rsidRDefault="004E0327" w:rsidP="00617731">
      <w:pPr>
        <w:pStyle w:val="ListParagraph"/>
        <w:numPr>
          <w:ilvl w:val="0"/>
          <w:numId w:val="14"/>
        </w:numPr>
        <w:rPr>
          <w:bCs/>
          <w:sz w:val="28"/>
          <w:szCs w:val="28"/>
        </w:rPr>
      </w:pPr>
      <w:r>
        <w:rPr>
          <w:bCs/>
          <w:sz w:val="28"/>
          <w:szCs w:val="28"/>
        </w:rPr>
        <w:t>No v</w:t>
      </w:r>
      <w:r w:rsidR="00FE2FD6" w:rsidRPr="00617731">
        <w:rPr>
          <w:bCs/>
          <w:sz w:val="28"/>
          <w:szCs w:val="28"/>
        </w:rPr>
        <w:t>iolent-related, including but not limited to murder, arson, aggravated battery and sex-related crimes not subject to lifetime registration under a state sex offender registration program.</w:t>
      </w:r>
    </w:p>
    <w:p w14:paraId="058F4049" w14:textId="653F68E7" w:rsidR="009760A6" w:rsidRPr="00617731" w:rsidRDefault="00FE2FD6" w:rsidP="00617731">
      <w:pPr>
        <w:pStyle w:val="ListParagraph"/>
        <w:numPr>
          <w:ilvl w:val="0"/>
          <w:numId w:val="14"/>
        </w:numPr>
        <w:rPr>
          <w:bCs/>
          <w:sz w:val="28"/>
          <w:szCs w:val="28"/>
        </w:rPr>
      </w:pPr>
      <w:r w:rsidRPr="00617731">
        <w:rPr>
          <w:bCs/>
          <w:sz w:val="28"/>
          <w:szCs w:val="28"/>
        </w:rPr>
        <w:t xml:space="preserve">US </w:t>
      </w:r>
      <w:r w:rsidR="00F772D0">
        <w:rPr>
          <w:bCs/>
          <w:sz w:val="28"/>
          <w:szCs w:val="28"/>
        </w:rPr>
        <w:t>C</w:t>
      </w:r>
      <w:r w:rsidRPr="00617731">
        <w:rPr>
          <w:bCs/>
          <w:sz w:val="28"/>
          <w:szCs w:val="28"/>
        </w:rPr>
        <w:t xml:space="preserve">itizenship </w:t>
      </w:r>
      <w:r w:rsidR="004E0327">
        <w:rPr>
          <w:bCs/>
          <w:sz w:val="28"/>
          <w:szCs w:val="28"/>
        </w:rPr>
        <w:t>required</w:t>
      </w:r>
    </w:p>
    <w:p w14:paraId="50F2A639" w14:textId="77777777" w:rsidR="00996E34" w:rsidRDefault="00996E34" w:rsidP="00945EB8">
      <w:pPr>
        <w:rPr>
          <w:b/>
          <w:sz w:val="32"/>
          <w:szCs w:val="32"/>
        </w:rPr>
      </w:pPr>
    </w:p>
    <w:p w14:paraId="4BEE1C9C" w14:textId="36D10505" w:rsidR="00B46DD7" w:rsidRDefault="00B46DD7" w:rsidP="00B46DD7">
      <w:pPr>
        <w:jc w:val="center"/>
        <w:rPr>
          <w:b/>
          <w:sz w:val="32"/>
          <w:szCs w:val="32"/>
        </w:rPr>
      </w:pPr>
      <w:r>
        <w:rPr>
          <w:b/>
          <w:sz w:val="32"/>
          <w:szCs w:val="32"/>
        </w:rPr>
        <w:t>Priority Groups for EHV on Long Island:</w:t>
      </w:r>
    </w:p>
    <w:p w14:paraId="09780242" w14:textId="77777777" w:rsidR="00B46DD7" w:rsidRDefault="00B46DD7" w:rsidP="00B46DD7">
      <w:pPr>
        <w:jc w:val="center"/>
        <w:rPr>
          <w:b/>
          <w:sz w:val="32"/>
          <w:szCs w:val="32"/>
        </w:rPr>
      </w:pPr>
    </w:p>
    <w:p w14:paraId="3BC5E28F" w14:textId="2B2334C7" w:rsidR="00821CD4" w:rsidRPr="006E411A" w:rsidRDefault="007F7896" w:rsidP="00F02E5A">
      <w:pPr>
        <w:jc w:val="center"/>
        <w:rPr>
          <w:b/>
          <w:sz w:val="28"/>
          <w:szCs w:val="28"/>
        </w:rPr>
      </w:pPr>
      <w:r>
        <w:rPr>
          <w:b/>
          <w:sz w:val="28"/>
          <w:szCs w:val="28"/>
        </w:rPr>
        <w:t>Household</w:t>
      </w:r>
      <w:r w:rsidR="00177EE9">
        <w:rPr>
          <w:b/>
          <w:sz w:val="28"/>
          <w:szCs w:val="28"/>
        </w:rPr>
        <w:t xml:space="preserve">s in </w:t>
      </w:r>
      <w:r w:rsidR="00B56570" w:rsidRPr="006E411A">
        <w:rPr>
          <w:b/>
          <w:sz w:val="28"/>
          <w:szCs w:val="28"/>
        </w:rPr>
        <w:t>CoC PSH to E</w:t>
      </w:r>
      <w:r w:rsidR="00110CED" w:rsidRPr="006E411A">
        <w:rPr>
          <w:b/>
          <w:sz w:val="28"/>
          <w:szCs w:val="28"/>
        </w:rPr>
        <w:t>HV (PHA)</w:t>
      </w:r>
    </w:p>
    <w:p w14:paraId="379641CD" w14:textId="3103B4A2" w:rsidR="00075BE6" w:rsidRPr="00571DB6" w:rsidRDefault="00075BE6" w:rsidP="00075BE6">
      <w:pPr>
        <w:rPr>
          <w:bCs/>
          <w:sz w:val="28"/>
          <w:szCs w:val="28"/>
        </w:rPr>
      </w:pPr>
      <w:r w:rsidRPr="00571DB6">
        <w:rPr>
          <w:bCs/>
          <w:sz w:val="28"/>
          <w:szCs w:val="28"/>
        </w:rPr>
        <w:t xml:space="preserve">The purpose of </w:t>
      </w:r>
      <w:r w:rsidR="007714B6" w:rsidRPr="00571DB6">
        <w:rPr>
          <w:bCs/>
          <w:sz w:val="28"/>
          <w:szCs w:val="28"/>
        </w:rPr>
        <w:t>transferring</w:t>
      </w:r>
      <w:r w:rsidRPr="00571DB6">
        <w:rPr>
          <w:bCs/>
          <w:sz w:val="28"/>
          <w:szCs w:val="28"/>
        </w:rPr>
        <w:t xml:space="preserve"> CoC PSH households </w:t>
      </w:r>
      <w:r w:rsidR="007714B6" w:rsidRPr="00571DB6">
        <w:rPr>
          <w:bCs/>
          <w:sz w:val="28"/>
          <w:szCs w:val="28"/>
        </w:rPr>
        <w:t xml:space="preserve">to HUD Emergency Housing Vouchers is to </w:t>
      </w:r>
      <w:r w:rsidR="005D106E" w:rsidRPr="00571DB6">
        <w:rPr>
          <w:bCs/>
          <w:sz w:val="28"/>
          <w:szCs w:val="28"/>
        </w:rPr>
        <w:t xml:space="preserve">provide a more appropriate housing resource for a household that is no longer in need of the intensive support services </w:t>
      </w:r>
      <w:r w:rsidR="00340AE0" w:rsidRPr="00571DB6">
        <w:rPr>
          <w:bCs/>
          <w:sz w:val="28"/>
          <w:szCs w:val="28"/>
        </w:rPr>
        <w:t>offered by a PSH program but</w:t>
      </w:r>
      <w:r w:rsidR="00FD1F51" w:rsidRPr="00571DB6">
        <w:rPr>
          <w:bCs/>
          <w:sz w:val="28"/>
          <w:szCs w:val="28"/>
        </w:rPr>
        <w:t xml:space="preserve"> </w:t>
      </w:r>
      <w:r w:rsidR="00340AE0" w:rsidRPr="00571DB6">
        <w:rPr>
          <w:bCs/>
          <w:sz w:val="28"/>
          <w:szCs w:val="28"/>
        </w:rPr>
        <w:t xml:space="preserve">still need ongoing subsidized rent </w:t>
      </w:r>
      <w:r w:rsidR="00996E34" w:rsidRPr="00571DB6">
        <w:rPr>
          <w:bCs/>
          <w:sz w:val="28"/>
          <w:szCs w:val="28"/>
        </w:rPr>
        <w:t>to</w:t>
      </w:r>
      <w:r w:rsidR="00340AE0" w:rsidRPr="00571DB6">
        <w:rPr>
          <w:bCs/>
          <w:sz w:val="28"/>
          <w:szCs w:val="28"/>
        </w:rPr>
        <w:t xml:space="preserve"> sustain housing.</w:t>
      </w:r>
    </w:p>
    <w:p w14:paraId="7FA6C4BC" w14:textId="0D300DF8" w:rsidR="00A3205B" w:rsidRDefault="00A3205B" w:rsidP="00075BE6">
      <w:pPr>
        <w:rPr>
          <w:bCs/>
          <w:i/>
          <w:iCs/>
          <w:sz w:val="24"/>
          <w:szCs w:val="24"/>
        </w:rPr>
      </w:pPr>
      <w:r w:rsidRPr="00A04F74">
        <w:rPr>
          <w:bCs/>
          <w:i/>
          <w:iCs/>
          <w:sz w:val="24"/>
          <w:szCs w:val="24"/>
        </w:rPr>
        <w:t>For example, a household that has been stably housed in PSH for five years and is no longer receiving any support services</w:t>
      </w:r>
      <w:r w:rsidR="00A04F74" w:rsidRPr="00A04F74">
        <w:rPr>
          <w:bCs/>
          <w:i/>
          <w:iCs/>
          <w:sz w:val="24"/>
          <w:szCs w:val="24"/>
        </w:rPr>
        <w:t xml:space="preserve"> but does not have an income high enough to afford housing on their own.</w:t>
      </w:r>
    </w:p>
    <w:p w14:paraId="1A50902C" w14:textId="77777777" w:rsidR="00AD1F19" w:rsidRPr="00A04F74" w:rsidRDefault="00AD1F19" w:rsidP="00075BE6">
      <w:pPr>
        <w:rPr>
          <w:bCs/>
          <w:i/>
          <w:iCs/>
          <w:sz w:val="24"/>
          <w:szCs w:val="24"/>
        </w:rPr>
      </w:pPr>
    </w:p>
    <w:p w14:paraId="51D86F03" w14:textId="3C0B2F00" w:rsidR="00996E34" w:rsidRPr="006E411A" w:rsidRDefault="000E2240" w:rsidP="00996E34">
      <w:pPr>
        <w:jc w:val="center"/>
        <w:rPr>
          <w:b/>
          <w:sz w:val="28"/>
          <w:szCs w:val="28"/>
        </w:rPr>
      </w:pPr>
      <w:r>
        <w:rPr>
          <w:b/>
          <w:sz w:val="28"/>
          <w:szCs w:val="28"/>
        </w:rPr>
        <w:t xml:space="preserve">Households in </w:t>
      </w:r>
      <w:r w:rsidR="00996E34" w:rsidRPr="006E411A">
        <w:rPr>
          <w:b/>
          <w:sz w:val="28"/>
          <w:szCs w:val="28"/>
        </w:rPr>
        <w:t>CoC</w:t>
      </w:r>
      <w:r w:rsidR="007E3B18">
        <w:rPr>
          <w:b/>
          <w:sz w:val="28"/>
          <w:szCs w:val="28"/>
        </w:rPr>
        <w:t>/</w:t>
      </w:r>
      <w:r w:rsidR="00536E90">
        <w:rPr>
          <w:b/>
          <w:sz w:val="28"/>
          <w:szCs w:val="28"/>
        </w:rPr>
        <w:t>DV CoC/</w:t>
      </w:r>
      <w:r w:rsidR="007E3B18">
        <w:rPr>
          <w:b/>
          <w:sz w:val="28"/>
          <w:szCs w:val="28"/>
        </w:rPr>
        <w:t>ESG/ESG-CV</w:t>
      </w:r>
      <w:r w:rsidR="00996E34" w:rsidRPr="006E411A">
        <w:rPr>
          <w:b/>
          <w:sz w:val="28"/>
          <w:szCs w:val="28"/>
        </w:rPr>
        <w:t xml:space="preserve"> RRH to E</w:t>
      </w:r>
      <w:r w:rsidR="00110CED" w:rsidRPr="006E411A">
        <w:rPr>
          <w:b/>
          <w:sz w:val="28"/>
          <w:szCs w:val="28"/>
        </w:rPr>
        <w:t>HV (PHA)</w:t>
      </w:r>
    </w:p>
    <w:p w14:paraId="14C2B35F" w14:textId="2D535F36" w:rsidR="00996E34" w:rsidRPr="00571DB6" w:rsidRDefault="00996E34" w:rsidP="00996E34">
      <w:pPr>
        <w:rPr>
          <w:bCs/>
          <w:sz w:val="28"/>
          <w:szCs w:val="28"/>
        </w:rPr>
      </w:pPr>
      <w:r w:rsidRPr="00571DB6">
        <w:rPr>
          <w:bCs/>
          <w:sz w:val="28"/>
          <w:szCs w:val="28"/>
        </w:rPr>
        <w:t xml:space="preserve">The purpose of bridging </w:t>
      </w:r>
      <w:r w:rsidR="00516D5C" w:rsidRPr="00571DB6">
        <w:rPr>
          <w:bCs/>
          <w:sz w:val="28"/>
          <w:szCs w:val="28"/>
        </w:rPr>
        <w:t xml:space="preserve">CoC RRH households to HUD Emergency Housing Vouchers is to provide a more </w:t>
      </w:r>
      <w:r w:rsidR="005F4CD0" w:rsidRPr="00571DB6">
        <w:rPr>
          <w:bCs/>
          <w:sz w:val="28"/>
          <w:szCs w:val="28"/>
        </w:rPr>
        <w:t>sustainable living situation for households that</w:t>
      </w:r>
      <w:r w:rsidR="00AB1DCA" w:rsidRPr="00571DB6">
        <w:rPr>
          <w:bCs/>
          <w:sz w:val="28"/>
          <w:szCs w:val="28"/>
        </w:rPr>
        <w:t>,</w:t>
      </w:r>
      <w:r w:rsidR="005F4CD0" w:rsidRPr="00571DB6">
        <w:rPr>
          <w:bCs/>
          <w:sz w:val="28"/>
          <w:szCs w:val="28"/>
        </w:rPr>
        <w:t xml:space="preserve"> without a RRH program (when the program ends)</w:t>
      </w:r>
      <w:r w:rsidR="00AB1DCA" w:rsidRPr="00571DB6">
        <w:rPr>
          <w:bCs/>
          <w:sz w:val="28"/>
          <w:szCs w:val="28"/>
        </w:rPr>
        <w:t>,</w:t>
      </w:r>
      <w:r w:rsidR="005F4CD0" w:rsidRPr="00571DB6">
        <w:rPr>
          <w:bCs/>
          <w:sz w:val="28"/>
          <w:szCs w:val="28"/>
        </w:rPr>
        <w:t xml:space="preserve"> would be unlikely to be able to sustain housing on their own, without subsidized rent</w:t>
      </w:r>
      <w:r w:rsidR="00AB1DCA" w:rsidRPr="00571DB6">
        <w:rPr>
          <w:bCs/>
          <w:sz w:val="28"/>
          <w:szCs w:val="28"/>
        </w:rPr>
        <w:t>, and be at immediate risk of returning to homelessness.</w:t>
      </w:r>
      <w:r w:rsidR="005F4CD0" w:rsidRPr="00571DB6">
        <w:rPr>
          <w:bCs/>
          <w:sz w:val="28"/>
          <w:szCs w:val="28"/>
        </w:rPr>
        <w:t xml:space="preserve"> </w:t>
      </w:r>
    </w:p>
    <w:p w14:paraId="37CC00DD" w14:textId="4C909788" w:rsidR="00A04F74" w:rsidRDefault="00A04F74" w:rsidP="00996E34">
      <w:pPr>
        <w:rPr>
          <w:bCs/>
          <w:i/>
          <w:iCs/>
          <w:sz w:val="24"/>
          <w:szCs w:val="24"/>
        </w:rPr>
      </w:pPr>
      <w:r w:rsidRPr="002E55DE">
        <w:rPr>
          <w:bCs/>
          <w:i/>
          <w:iCs/>
          <w:sz w:val="24"/>
          <w:szCs w:val="24"/>
        </w:rPr>
        <w:t xml:space="preserve">For example, a household that </w:t>
      </w:r>
      <w:r w:rsidR="002963B6" w:rsidRPr="002E55DE">
        <w:rPr>
          <w:bCs/>
          <w:i/>
          <w:iCs/>
          <w:sz w:val="24"/>
          <w:szCs w:val="24"/>
        </w:rPr>
        <w:t>is currently enrolled in a RRH program, has been in a private rental for 18 months an</w:t>
      </w:r>
      <w:r w:rsidR="004F16C1" w:rsidRPr="002E55DE">
        <w:rPr>
          <w:bCs/>
          <w:i/>
          <w:iCs/>
          <w:sz w:val="24"/>
          <w:szCs w:val="24"/>
        </w:rPr>
        <w:t>d continues to receive 80% of their rent portion covered by RRH because the household</w:t>
      </w:r>
      <w:r w:rsidR="002E55DE" w:rsidRPr="002E55DE">
        <w:rPr>
          <w:bCs/>
          <w:i/>
          <w:iCs/>
          <w:sz w:val="24"/>
          <w:szCs w:val="24"/>
        </w:rPr>
        <w:t xml:space="preserve"> income has not significantly increased. This household would not be able to pay rent without the RRH program and would immediately become at risk of returning to homelessness. </w:t>
      </w:r>
    </w:p>
    <w:p w14:paraId="0E68AA1D" w14:textId="77777777" w:rsidR="00E460A8" w:rsidRDefault="00E460A8" w:rsidP="00996E34">
      <w:pPr>
        <w:rPr>
          <w:bCs/>
          <w:i/>
          <w:iCs/>
          <w:sz w:val="24"/>
          <w:szCs w:val="24"/>
        </w:rPr>
      </w:pPr>
    </w:p>
    <w:p w14:paraId="6CB40FA5" w14:textId="08997851" w:rsidR="003F317A" w:rsidRPr="000C3910" w:rsidRDefault="003F317A" w:rsidP="003F317A">
      <w:pPr>
        <w:jc w:val="center"/>
        <w:rPr>
          <w:b/>
          <w:sz w:val="28"/>
          <w:szCs w:val="28"/>
        </w:rPr>
      </w:pPr>
      <w:r w:rsidRPr="000C3910">
        <w:rPr>
          <w:b/>
          <w:sz w:val="28"/>
          <w:szCs w:val="28"/>
        </w:rPr>
        <w:t xml:space="preserve">HUD Homeless </w:t>
      </w:r>
      <w:r w:rsidR="00DF38D3">
        <w:rPr>
          <w:b/>
          <w:sz w:val="28"/>
          <w:szCs w:val="28"/>
        </w:rPr>
        <w:t>H</w:t>
      </w:r>
      <w:r w:rsidR="00DA1D89">
        <w:rPr>
          <w:b/>
          <w:sz w:val="28"/>
          <w:szCs w:val="28"/>
        </w:rPr>
        <w:t>ouseholds</w:t>
      </w:r>
      <w:r w:rsidR="00485D57" w:rsidRPr="000C3910">
        <w:rPr>
          <w:b/>
          <w:sz w:val="28"/>
          <w:szCs w:val="28"/>
        </w:rPr>
        <w:t>*</w:t>
      </w:r>
      <w:r w:rsidR="003C0436" w:rsidRPr="000C3910">
        <w:rPr>
          <w:b/>
          <w:sz w:val="28"/>
          <w:szCs w:val="28"/>
        </w:rPr>
        <w:t xml:space="preserve"> (</w:t>
      </w:r>
      <w:r w:rsidR="00B4472F" w:rsidRPr="000C3910">
        <w:rPr>
          <w:b/>
          <w:sz w:val="28"/>
          <w:szCs w:val="28"/>
        </w:rPr>
        <w:t xml:space="preserve">HUD </w:t>
      </w:r>
      <w:r w:rsidR="003C0436" w:rsidRPr="000C3910">
        <w:rPr>
          <w:b/>
          <w:sz w:val="28"/>
          <w:szCs w:val="28"/>
        </w:rPr>
        <w:t>Ca</w:t>
      </w:r>
      <w:r w:rsidR="00C4637D" w:rsidRPr="000C3910">
        <w:rPr>
          <w:b/>
          <w:sz w:val="28"/>
          <w:szCs w:val="28"/>
        </w:rPr>
        <w:t xml:space="preserve">t 1) </w:t>
      </w:r>
      <w:r w:rsidR="008269BD">
        <w:rPr>
          <w:b/>
          <w:sz w:val="28"/>
          <w:szCs w:val="28"/>
        </w:rPr>
        <w:t xml:space="preserve">and households </w:t>
      </w:r>
      <w:r w:rsidR="003C0436" w:rsidRPr="000C3910">
        <w:rPr>
          <w:b/>
          <w:sz w:val="28"/>
          <w:szCs w:val="28"/>
        </w:rPr>
        <w:t>Actively Fleeing DV (HUD Cat</w:t>
      </w:r>
      <w:r w:rsidR="00E66BD7" w:rsidRPr="000C3910">
        <w:rPr>
          <w:b/>
          <w:sz w:val="28"/>
          <w:szCs w:val="28"/>
        </w:rPr>
        <w:t xml:space="preserve"> </w:t>
      </w:r>
      <w:r w:rsidR="003C0436" w:rsidRPr="000C3910">
        <w:rPr>
          <w:b/>
          <w:sz w:val="28"/>
          <w:szCs w:val="28"/>
        </w:rPr>
        <w:t>4)</w:t>
      </w:r>
    </w:p>
    <w:p w14:paraId="28F2605B" w14:textId="0F1A82D2" w:rsidR="00485D57" w:rsidRPr="000C3910" w:rsidRDefault="00485D57" w:rsidP="009B0E6D">
      <w:pPr>
        <w:rPr>
          <w:bCs/>
          <w:i/>
          <w:iCs/>
          <w:sz w:val="24"/>
          <w:szCs w:val="24"/>
        </w:rPr>
      </w:pPr>
      <w:r w:rsidRPr="000C3910">
        <w:rPr>
          <w:bCs/>
          <w:i/>
          <w:iCs/>
          <w:sz w:val="24"/>
          <w:szCs w:val="24"/>
        </w:rPr>
        <w:t xml:space="preserve">*HUD homelessness </w:t>
      </w:r>
      <w:r w:rsidR="004873E3" w:rsidRPr="000C3910">
        <w:rPr>
          <w:bCs/>
          <w:i/>
          <w:iCs/>
          <w:sz w:val="24"/>
          <w:szCs w:val="24"/>
        </w:rPr>
        <w:t xml:space="preserve">and LOT </w:t>
      </w:r>
      <w:r w:rsidRPr="000C3910">
        <w:rPr>
          <w:bCs/>
          <w:i/>
          <w:iCs/>
          <w:sz w:val="24"/>
          <w:szCs w:val="24"/>
        </w:rPr>
        <w:t>will be verified by HMIS, Coordinated Entry, and/or DV Coordinated Entry.</w:t>
      </w:r>
    </w:p>
    <w:p w14:paraId="73CF782F" w14:textId="4F19397A" w:rsidR="009B0E6D" w:rsidRPr="000C3910" w:rsidRDefault="009B0E6D" w:rsidP="009B0E6D">
      <w:pPr>
        <w:rPr>
          <w:bCs/>
          <w:sz w:val="28"/>
          <w:szCs w:val="28"/>
        </w:rPr>
      </w:pPr>
      <w:r w:rsidRPr="000C3910">
        <w:rPr>
          <w:bCs/>
          <w:sz w:val="28"/>
          <w:szCs w:val="28"/>
        </w:rPr>
        <w:lastRenderedPageBreak/>
        <w:t xml:space="preserve">The purpose of referring households </w:t>
      </w:r>
      <w:r w:rsidR="00352152" w:rsidRPr="000C3910">
        <w:rPr>
          <w:bCs/>
          <w:sz w:val="28"/>
          <w:szCs w:val="28"/>
        </w:rPr>
        <w:t xml:space="preserve">experiencing literal homelessness or households with </w:t>
      </w:r>
      <w:r w:rsidR="00A53C30">
        <w:rPr>
          <w:bCs/>
          <w:sz w:val="28"/>
          <w:szCs w:val="28"/>
        </w:rPr>
        <w:t xml:space="preserve">households </w:t>
      </w:r>
      <w:r w:rsidR="00352152" w:rsidRPr="000C3910">
        <w:rPr>
          <w:bCs/>
          <w:sz w:val="28"/>
          <w:szCs w:val="28"/>
        </w:rPr>
        <w:t>that are actively fleeing domestic violence</w:t>
      </w:r>
      <w:r w:rsidR="00205B2E" w:rsidRPr="000C3910">
        <w:rPr>
          <w:bCs/>
          <w:sz w:val="28"/>
          <w:szCs w:val="28"/>
        </w:rPr>
        <w:t xml:space="preserve"> that are experiencing literal homelessness</w:t>
      </w:r>
      <w:r w:rsidR="00352152" w:rsidRPr="000C3910">
        <w:rPr>
          <w:bCs/>
          <w:sz w:val="28"/>
          <w:szCs w:val="28"/>
        </w:rPr>
        <w:t xml:space="preserve"> </w:t>
      </w:r>
      <w:r w:rsidR="008901F6" w:rsidRPr="000C3910">
        <w:rPr>
          <w:bCs/>
          <w:sz w:val="28"/>
          <w:szCs w:val="28"/>
        </w:rPr>
        <w:t xml:space="preserve">is to address urgent needs for those at increased health and safety risks, and in alignment with NYS </w:t>
      </w:r>
      <w:r w:rsidR="00A371F5" w:rsidRPr="000C3910">
        <w:rPr>
          <w:bCs/>
          <w:sz w:val="28"/>
          <w:szCs w:val="28"/>
        </w:rPr>
        <w:t xml:space="preserve">EHV </w:t>
      </w:r>
      <w:r w:rsidR="008901F6" w:rsidRPr="000C3910">
        <w:rPr>
          <w:bCs/>
          <w:sz w:val="28"/>
          <w:szCs w:val="28"/>
        </w:rPr>
        <w:t>priority</w:t>
      </w:r>
      <w:r w:rsidR="00694749" w:rsidRPr="000C3910">
        <w:rPr>
          <w:bCs/>
          <w:sz w:val="28"/>
          <w:szCs w:val="28"/>
        </w:rPr>
        <w:t>.</w:t>
      </w:r>
    </w:p>
    <w:p w14:paraId="71B2C373" w14:textId="446994CE" w:rsidR="00694749" w:rsidRPr="00694749" w:rsidRDefault="00694749" w:rsidP="009B0E6D">
      <w:pPr>
        <w:rPr>
          <w:bCs/>
          <w:i/>
          <w:iCs/>
          <w:sz w:val="24"/>
          <w:szCs w:val="24"/>
        </w:rPr>
      </w:pPr>
      <w:r w:rsidRPr="000C3910">
        <w:rPr>
          <w:bCs/>
          <w:i/>
          <w:iCs/>
          <w:sz w:val="24"/>
          <w:szCs w:val="24"/>
        </w:rPr>
        <w:t>For example, a household</w:t>
      </w:r>
      <w:r w:rsidR="00571DB6" w:rsidRPr="000C3910">
        <w:rPr>
          <w:bCs/>
          <w:i/>
          <w:iCs/>
          <w:sz w:val="24"/>
          <w:szCs w:val="24"/>
        </w:rPr>
        <w:t xml:space="preserve"> that is currently residing in shelter </w:t>
      </w:r>
      <w:r w:rsidR="007C0339" w:rsidRPr="000C3910">
        <w:rPr>
          <w:bCs/>
          <w:i/>
          <w:iCs/>
          <w:sz w:val="24"/>
          <w:szCs w:val="24"/>
        </w:rPr>
        <w:t xml:space="preserve">that is at greater risk of COVID, has </w:t>
      </w:r>
      <w:r w:rsidR="0050618C" w:rsidRPr="000C3910">
        <w:rPr>
          <w:bCs/>
          <w:i/>
          <w:iCs/>
          <w:sz w:val="24"/>
          <w:szCs w:val="24"/>
        </w:rPr>
        <w:t xml:space="preserve">significant barriers to exiting homelessness on their own, </w:t>
      </w:r>
      <w:r w:rsidR="00F1376B" w:rsidRPr="000C3910">
        <w:rPr>
          <w:bCs/>
          <w:i/>
          <w:iCs/>
          <w:sz w:val="24"/>
          <w:szCs w:val="24"/>
        </w:rPr>
        <w:t>and does not have a viable housing resource (non-DV or DV).</w:t>
      </w:r>
      <w:r w:rsidR="00F1376B">
        <w:rPr>
          <w:bCs/>
          <w:i/>
          <w:iCs/>
          <w:sz w:val="24"/>
          <w:szCs w:val="24"/>
        </w:rPr>
        <w:t xml:space="preserve"> </w:t>
      </w:r>
    </w:p>
    <w:p w14:paraId="62120E27" w14:textId="5AA41BD7" w:rsidR="000A5C90" w:rsidRDefault="000A5C90" w:rsidP="00996E34">
      <w:pPr>
        <w:rPr>
          <w:bCs/>
          <w:i/>
          <w:iCs/>
          <w:sz w:val="24"/>
          <w:szCs w:val="24"/>
        </w:rPr>
      </w:pPr>
    </w:p>
    <w:p w14:paraId="64CCF686" w14:textId="6E5C424B" w:rsidR="004179C5" w:rsidRDefault="004179C5" w:rsidP="00996E34">
      <w:pPr>
        <w:rPr>
          <w:bCs/>
          <w:i/>
          <w:iCs/>
          <w:sz w:val="24"/>
          <w:szCs w:val="24"/>
        </w:rPr>
      </w:pPr>
      <w:r>
        <w:rPr>
          <w:bCs/>
          <w:i/>
          <w:iCs/>
          <w:sz w:val="24"/>
          <w:szCs w:val="24"/>
        </w:rPr>
        <w:t>EHV Capacity:</w:t>
      </w:r>
    </w:p>
    <w:p w14:paraId="64682B9C" w14:textId="77777777" w:rsidR="004179C5" w:rsidRDefault="004179C5" w:rsidP="00996E34">
      <w:pPr>
        <w:rPr>
          <w:bCs/>
          <w:i/>
          <w:iCs/>
          <w:sz w:val="24"/>
          <w:szCs w:val="24"/>
        </w:rPr>
      </w:pPr>
    </w:p>
    <w:p w14:paraId="49491895" w14:textId="77777777" w:rsidR="000A5C90" w:rsidRPr="000A5C90" w:rsidRDefault="000A5C90" w:rsidP="000A5C90">
      <w:pPr>
        <w:numPr>
          <w:ilvl w:val="0"/>
          <w:numId w:val="9"/>
        </w:numPr>
        <w:rPr>
          <w:bCs/>
          <w:i/>
          <w:iCs/>
          <w:sz w:val="24"/>
          <w:szCs w:val="24"/>
        </w:rPr>
      </w:pPr>
      <w:r w:rsidRPr="000A5C90">
        <w:rPr>
          <w:b/>
          <w:bCs/>
          <w:i/>
          <w:iCs/>
          <w:sz w:val="24"/>
          <w:szCs w:val="24"/>
        </w:rPr>
        <w:t>Town of Brookhaven: 24 vouchers</w:t>
      </w:r>
    </w:p>
    <w:p w14:paraId="1440DEC7" w14:textId="77777777" w:rsidR="000A5C90" w:rsidRPr="000A5C90" w:rsidRDefault="000A5C90" w:rsidP="000A5C90">
      <w:pPr>
        <w:numPr>
          <w:ilvl w:val="0"/>
          <w:numId w:val="9"/>
        </w:numPr>
        <w:rPr>
          <w:bCs/>
          <w:i/>
          <w:iCs/>
          <w:sz w:val="24"/>
          <w:szCs w:val="24"/>
        </w:rPr>
      </w:pPr>
      <w:r w:rsidRPr="000A5C90">
        <w:rPr>
          <w:b/>
          <w:bCs/>
          <w:i/>
          <w:iCs/>
          <w:sz w:val="24"/>
          <w:szCs w:val="24"/>
        </w:rPr>
        <w:t>Village of Hempstead: 17 vouchers</w:t>
      </w:r>
    </w:p>
    <w:p w14:paraId="7EC0DB25" w14:textId="26C129E9" w:rsidR="000A5C90" w:rsidRPr="000C3910" w:rsidRDefault="000A5C90" w:rsidP="00996E34">
      <w:pPr>
        <w:numPr>
          <w:ilvl w:val="0"/>
          <w:numId w:val="9"/>
        </w:numPr>
        <w:rPr>
          <w:bCs/>
          <w:i/>
          <w:iCs/>
          <w:sz w:val="24"/>
          <w:szCs w:val="24"/>
        </w:rPr>
      </w:pPr>
      <w:r w:rsidRPr="000C3910">
        <w:rPr>
          <w:b/>
          <w:bCs/>
          <w:i/>
          <w:iCs/>
          <w:sz w:val="24"/>
          <w:szCs w:val="24"/>
        </w:rPr>
        <w:t>NYS: 1,447 total vouchers statewide (to begin August</w:t>
      </w:r>
      <w:r w:rsidR="00321EA2" w:rsidRPr="000C3910">
        <w:rPr>
          <w:b/>
          <w:bCs/>
          <w:i/>
          <w:iCs/>
          <w:sz w:val="24"/>
          <w:szCs w:val="24"/>
        </w:rPr>
        <w:t xml:space="preserve"> 1</w:t>
      </w:r>
      <w:r w:rsidRPr="000C3910">
        <w:rPr>
          <w:b/>
          <w:bCs/>
          <w:i/>
          <w:iCs/>
          <w:sz w:val="24"/>
          <w:szCs w:val="24"/>
        </w:rPr>
        <w:t>, first come first serve, faster you move people more vouchers for your CoC)</w:t>
      </w:r>
      <w:r w:rsidR="00481129" w:rsidRPr="000C3910">
        <w:rPr>
          <w:b/>
          <w:bCs/>
          <w:i/>
          <w:iCs/>
          <w:sz w:val="24"/>
          <w:szCs w:val="24"/>
        </w:rPr>
        <w:t xml:space="preserve">. NYS tentatively will prioritize families currently experiencing homelessness, including households actively fleeing DV for the first 21 days of </w:t>
      </w:r>
      <w:r w:rsidR="00321EA2" w:rsidRPr="000C3910">
        <w:rPr>
          <w:b/>
          <w:bCs/>
          <w:i/>
          <w:iCs/>
          <w:sz w:val="24"/>
          <w:szCs w:val="24"/>
        </w:rPr>
        <w:t xml:space="preserve">their open application process. </w:t>
      </w:r>
      <w:r w:rsidR="004B7931" w:rsidRPr="000C3910">
        <w:rPr>
          <w:b/>
          <w:bCs/>
          <w:i/>
          <w:iCs/>
          <w:sz w:val="24"/>
          <w:szCs w:val="24"/>
        </w:rPr>
        <w:t xml:space="preserve">Approximately 1/3 of state voucher allocation will go to Suffolk, Nassau, </w:t>
      </w:r>
      <w:r w:rsidR="00F717E0" w:rsidRPr="000C3910">
        <w:rPr>
          <w:b/>
          <w:bCs/>
          <w:i/>
          <w:iCs/>
          <w:sz w:val="24"/>
          <w:szCs w:val="24"/>
        </w:rPr>
        <w:t>Westchester,</w:t>
      </w:r>
      <w:r w:rsidR="004B7931" w:rsidRPr="000C3910">
        <w:rPr>
          <w:b/>
          <w:bCs/>
          <w:i/>
          <w:iCs/>
          <w:sz w:val="24"/>
          <w:szCs w:val="24"/>
        </w:rPr>
        <w:t xml:space="preserve"> and The Rockaways.</w:t>
      </w:r>
      <w:r w:rsidR="004B7931" w:rsidRPr="000C3910">
        <w:rPr>
          <w:bCs/>
          <w:i/>
          <w:iCs/>
          <w:sz w:val="24"/>
          <w:szCs w:val="24"/>
        </w:rPr>
        <w:t xml:space="preserve"> </w:t>
      </w:r>
    </w:p>
    <w:p w14:paraId="7547D013" w14:textId="77777777" w:rsidR="005A720D" w:rsidRPr="002E55DE" w:rsidRDefault="005A720D" w:rsidP="00996E34">
      <w:pPr>
        <w:rPr>
          <w:bCs/>
          <w:i/>
          <w:iCs/>
          <w:sz w:val="24"/>
          <w:szCs w:val="24"/>
        </w:rPr>
      </w:pPr>
    </w:p>
    <w:p w14:paraId="2CA7DC47" w14:textId="77777777" w:rsidR="00F02E5A" w:rsidRPr="00AF3D98" w:rsidRDefault="00F02E5A" w:rsidP="00F02E5A">
      <w:pPr>
        <w:ind w:left="360"/>
        <w:rPr>
          <w:b/>
          <w:bCs/>
        </w:rPr>
      </w:pPr>
      <w:r w:rsidRPr="00AF3D98">
        <w:rPr>
          <w:b/>
          <w:bCs/>
        </w:rPr>
        <w:t>PROCEDURES:</w:t>
      </w:r>
    </w:p>
    <w:p w14:paraId="4604BEE1" w14:textId="40DEB36F" w:rsidR="003B1FAF" w:rsidRDefault="008555E7" w:rsidP="00F02E5A">
      <w:pPr>
        <w:pStyle w:val="ListParagraph"/>
        <w:numPr>
          <w:ilvl w:val="0"/>
          <w:numId w:val="3"/>
        </w:numPr>
      </w:pPr>
      <w:r>
        <w:t>Applicants</w:t>
      </w:r>
      <w:r w:rsidR="00491EBA">
        <w:t xml:space="preserve"> should complete a</w:t>
      </w:r>
      <w:r w:rsidR="0029575E">
        <w:t>nd respond to all listed questions and documents</w:t>
      </w:r>
      <w:r w:rsidR="005F43D1">
        <w:t xml:space="preserve"> listed below</w:t>
      </w:r>
      <w:r w:rsidR="0029575E">
        <w:t xml:space="preserve"> for each group (PSH, RRH, or homeless families)</w:t>
      </w:r>
      <w:r w:rsidR="005A720D">
        <w:t>, sent via email to CE Manager/ DV CE Manager.</w:t>
      </w:r>
    </w:p>
    <w:p w14:paraId="20F1B62C" w14:textId="77777777" w:rsidR="003B1FAF" w:rsidRDefault="003B1FAF" w:rsidP="003B1FAF">
      <w:pPr>
        <w:pStyle w:val="ListParagraph"/>
      </w:pPr>
    </w:p>
    <w:p w14:paraId="3EBA64FD" w14:textId="445F52D3" w:rsidR="00F02E5A" w:rsidRDefault="005A720D" w:rsidP="003B1FAF">
      <w:pPr>
        <w:pStyle w:val="ListParagraph"/>
      </w:pPr>
      <w:r>
        <w:rPr>
          <w:b/>
          <w:bCs/>
        </w:rPr>
        <w:t>*</w:t>
      </w:r>
      <w:r w:rsidR="00391600" w:rsidRPr="00391600">
        <w:rPr>
          <w:b/>
          <w:bCs/>
        </w:rPr>
        <w:t xml:space="preserve">PSH providers should only be referring PSH households </w:t>
      </w:r>
      <w:r w:rsidR="00177073">
        <w:rPr>
          <w:b/>
          <w:bCs/>
        </w:rPr>
        <w:t xml:space="preserve">where that decision is driven by </w:t>
      </w:r>
      <w:r w:rsidR="00177073" w:rsidRPr="00934264">
        <w:rPr>
          <w:b/>
          <w:bCs/>
          <w:u w:val="single"/>
        </w:rPr>
        <w:t>client choice</w:t>
      </w:r>
      <w:r w:rsidR="00177073">
        <w:rPr>
          <w:b/>
          <w:bCs/>
        </w:rPr>
        <w:t xml:space="preserve">. </w:t>
      </w:r>
    </w:p>
    <w:p w14:paraId="0FC1058B" w14:textId="77777777" w:rsidR="00F02E5A" w:rsidRDefault="00F02E5A" w:rsidP="00F02E5A">
      <w:pPr>
        <w:pStyle w:val="ListParagraph"/>
      </w:pPr>
    </w:p>
    <w:p w14:paraId="488B436C" w14:textId="0B4058BE" w:rsidR="00F02E5A" w:rsidRDefault="00F02E5A" w:rsidP="00B02E01">
      <w:pPr>
        <w:pStyle w:val="ListParagraph"/>
        <w:numPr>
          <w:ilvl w:val="0"/>
          <w:numId w:val="3"/>
        </w:numPr>
      </w:pPr>
      <w:r>
        <w:t xml:space="preserve">Once all proper documentation is received, the CE </w:t>
      </w:r>
      <w:r w:rsidR="00127D00">
        <w:t>Manager (LICH</w:t>
      </w:r>
      <w:r w:rsidR="00BE3546">
        <w:t>/TSCLI</w:t>
      </w:r>
      <w:r w:rsidR="00127D00">
        <w:t>)</w:t>
      </w:r>
      <w:r w:rsidR="008F56ED">
        <w:t>,</w:t>
      </w:r>
      <w:r w:rsidR="00127D00">
        <w:t xml:space="preserve"> </w:t>
      </w:r>
      <w:r>
        <w:t xml:space="preserve">with </w:t>
      </w:r>
      <w:r w:rsidR="00EF7675">
        <w:t xml:space="preserve">possible </w:t>
      </w:r>
      <w:r>
        <w:t xml:space="preserve">advisement </w:t>
      </w:r>
      <w:r w:rsidR="00EF7675">
        <w:t xml:space="preserve">and review </w:t>
      </w:r>
      <w:r>
        <w:t xml:space="preserve">from the CE Steering </w:t>
      </w:r>
      <w:r w:rsidR="00971A1A">
        <w:t>Committee,</w:t>
      </w:r>
      <w:r>
        <w:t xml:space="preserve"> </w:t>
      </w:r>
      <w:r w:rsidR="00EF7675">
        <w:t xml:space="preserve">when necessary, </w:t>
      </w:r>
      <w:r>
        <w:t xml:space="preserve">will review and respond within </w:t>
      </w:r>
      <w:r w:rsidR="009C484C">
        <w:t>five</w:t>
      </w:r>
      <w:r>
        <w:t xml:space="preserve"> business days </w:t>
      </w:r>
      <w:r w:rsidR="009C484C">
        <w:t xml:space="preserve">as to whether each household </w:t>
      </w:r>
      <w:r w:rsidR="004D5A99">
        <w:t>falls within the local target priority populations</w:t>
      </w:r>
      <w:r w:rsidR="009C484C">
        <w:t xml:space="preserve"> for EHV</w:t>
      </w:r>
      <w:r w:rsidR="00545C3F">
        <w:t xml:space="preserve"> transfers</w:t>
      </w:r>
      <w:r w:rsidR="009C484C">
        <w:t>.</w:t>
      </w:r>
      <w:r w:rsidR="00D0008B">
        <w:t xml:space="preserve"> CE will work in coordination with the provider and the household to complete any additional documentation, create plans for </w:t>
      </w:r>
      <w:r w:rsidR="0020713B">
        <w:t>transitional and ongoing case management and other necessary supports, assist with unit identification when possible</w:t>
      </w:r>
      <w:r w:rsidR="00D7281F">
        <w:t xml:space="preserve">, and logistics and coordination for physical relocation when applicable (households cannot remain in their current unit). </w:t>
      </w:r>
    </w:p>
    <w:p w14:paraId="296C8D5C" w14:textId="6ADE8A15" w:rsidR="00FB37EC" w:rsidRDefault="00842459" w:rsidP="00842459">
      <w:pPr>
        <w:ind w:left="720"/>
      </w:pPr>
      <w:r>
        <w:t>CE response will state whether the applicant falls within the target populations for prioritization</w:t>
      </w:r>
      <w:r w:rsidR="00180AAD">
        <w:t xml:space="preserve"> or not, or whether more information is needed to make a determin</w:t>
      </w:r>
      <w:r w:rsidR="00AA52B1">
        <w:t>ation</w:t>
      </w:r>
      <w:r w:rsidR="00954A6E">
        <w:t xml:space="preserve">. </w:t>
      </w:r>
    </w:p>
    <w:p w14:paraId="74B09ED1" w14:textId="77777777" w:rsidR="00B02E01" w:rsidRDefault="00B02E01" w:rsidP="00B02E01">
      <w:pPr>
        <w:pStyle w:val="ListParagraph"/>
      </w:pPr>
    </w:p>
    <w:p w14:paraId="21A6549D" w14:textId="6A12C38C" w:rsidR="00F02E5A" w:rsidRDefault="00F02E5A" w:rsidP="00F02E5A">
      <w:pPr>
        <w:pStyle w:val="ListParagraph"/>
        <w:numPr>
          <w:ilvl w:val="0"/>
          <w:numId w:val="3"/>
        </w:numPr>
      </w:pPr>
      <w:r>
        <w:t>De</w:t>
      </w:r>
      <w:r w:rsidR="00C576F8">
        <w:t>cisions for EHV</w:t>
      </w:r>
      <w:r>
        <w:t xml:space="preserve"> will be made based on complete submission of required information and case conference by CE Steering Committee. The CE </w:t>
      </w:r>
      <w:r w:rsidR="00664A0F">
        <w:t>Manage</w:t>
      </w:r>
      <w:r w:rsidR="00803D04">
        <w:t>r or EHV Coordinator</w:t>
      </w:r>
      <w:r>
        <w:t xml:space="preserve"> will notify the PSH </w:t>
      </w:r>
      <w:r w:rsidR="0016658E">
        <w:t xml:space="preserve">or RRH </w:t>
      </w:r>
      <w:r>
        <w:t>provider of its decision in writing</w:t>
      </w:r>
      <w:r w:rsidR="00447E9B">
        <w:t xml:space="preserve"> (email)</w:t>
      </w:r>
      <w:r>
        <w:t xml:space="preserve">. </w:t>
      </w:r>
    </w:p>
    <w:p w14:paraId="0B813D26" w14:textId="77777777" w:rsidR="007D639F" w:rsidRDefault="007D639F" w:rsidP="007D639F">
      <w:pPr>
        <w:pStyle w:val="ListParagraph"/>
      </w:pPr>
    </w:p>
    <w:p w14:paraId="6AE8DAD6" w14:textId="60425FB9" w:rsidR="007D639F" w:rsidRPr="007D639F" w:rsidRDefault="007D639F" w:rsidP="007D639F">
      <w:pPr>
        <w:numPr>
          <w:ilvl w:val="0"/>
          <w:numId w:val="10"/>
        </w:numPr>
      </w:pPr>
      <w:r w:rsidRPr="007D639F">
        <w:t xml:space="preserve">LICH and TSCLI will review </w:t>
      </w:r>
      <w:r w:rsidR="009703EB">
        <w:t xml:space="preserve">and </w:t>
      </w:r>
      <w:r w:rsidRPr="007D639F">
        <w:t xml:space="preserve">assessment </w:t>
      </w:r>
      <w:r w:rsidR="009703EB">
        <w:t>households in the same way</w:t>
      </w:r>
      <w:r w:rsidRPr="007D639F">
        <w:t xml:space="preserve"> to determine need</w:t>
      </w:r>
      <w:r w:rsidR="00CF0865">
        <w:t xml:space="preserve"> and prioritization, and will case conference with CE Steering Committee when necessary. </w:t>
      </w:r>
    </w:p>
    <w:p w14:paraId="02204034" w14:textId="6B5E8DD8" w:rsidR="007D639F" w:rsidRPr="007D639F" w:rsidRDefault="008C5E6C" w:rsidP="007D639F">
      <w:pPr>
        <w:numPr>
          <w:ilvl w:val="0"/>
          <w:numId w:val="10"/>
        </w:numPr>
      </w:pPr>
      <w:r>
        <w:lastRenderedPageBreak/>
        <w:t xml:space="preserve">PSH households in closing programs will be prioritized above other PSH transfers due to their imminent risk of returning to homelessness once the PSH project ends. </w:t>
      </w:r>
      <w:r w:rsidR="007D639F" w:rsidRPr="007D639F">
        <w:t xml:space="preserve">For PSH move-on, households in PSH for the longest lengths of time and with the highest assessment score for housing stabilization will be prioritized first. </w:t>
      </w:r>
      <w:r>
        <w:tab/>
      </w:r>
    </w:p>
    <w:p w14:paraId="2A4BB321" w14:textId="7EDC071B" w:rsidR="007D639F" w:rsidRDefault="007D639F" w:rsidP="007D639F">
      <w:pPr>
        <w:numPr>
          <w:ilvl w:val="0"/>
          <w:numId w:val="10"/>
        </w:numPr>
      </w:pPr>
      <w:r w:rsidRPr="007D639F">
        <w:t xml:space="preserve">For RRH bridge, households in RRH for the longest lengths of time and </w:t>
      </w:r>
      <w:r w:rsidR="001F5D43">
        <w:t xml:space="preserve">greatest barriers with </w:t>
      </w:r>
      <w:r w:rsidRPr="007D639F">
        <w:t xml:space="preserve">housing stabilization will be prioritized first. Any households already at the two-year max for program stay will be prioritized first among any RRH households because if the immediate risk of becoming homeless with the program ending, in the same way as closing PSH. </w:t>
      </w:r>
    </w:p>
    <w:p w14:paraId="39A74036" w14:textId="00F8C1DB" w:rsidR="00E753C1" w:rsidRPr="007D639F" w:rsidRDefault="00E753C1" w:rsidP="007D639F">
      <w:pPr>
        <w:numPr>
          <w:ilvl w:val="0"/>
          <w:numId w:val="10"/>
        </w:numPr>
      </w:pPr>
      <w:r>
        <w:t>For homeless families, households that have been homeless the longest, have the highest barriers to exiting homeless</w:t>
      </w:r>
      <w:r w:rsidR="00B862B1">
        <w:t>, face significant safety risks,</w:t>
      </w:r>
      <w:r>
        <w:t xml:space="preserve"> and/or are </w:t>
      </w:r>
      <w:r w:rsidR="004972E5">
        <w:t xml:space="preserve">at greater risk of COVID-19 will be prioritized. </w:t>
      </w:r>
    </w:p>
    <w:p w14:paraId="367455A4" w14:textId="77777777" w:rsidR="00B74C8E" w:rsidRDefault="00B74C8E" w:rsidP="00F63E88"/>
    <w:p w14:paraId="7DAED027" w14:textId="1E6875C6" w:rsidR="00B74C8E" w:rsidRDefault="00B74C8E" w:rsidP="00B74C8E"/>
    <w:p w14:paraId="287AE700" w14:textId="77777777" w:rsidR="00B74C8E" w:rsidRDefault="00B74C8E" w:rsidP="00B74C8E"/>
    <w:p w14:paraId="1DE4C8A3" w14:textId="5BBEC9CF" w:rsidR="00F02E5A" w:rsidRDefault="00F02E5A" w:rsidP="00F02E5A">
      <w:pPr>
        <w:jc w:val="center"/>
        <w:rPr>
          <w:b/>
          <w:bCs/>
        </w:rPr>
      </w:pPr>
      <w:r>
        <w:rPr>
          <w:b/>
          <w:bCs/>
        </w:rPr>
        <w:t xml:space="preserve">PSH to </w:t>
      </w:r>
      <w:r w:rsidR="007A6623">
        <w:rPr>
          <w:b/>
          <w:bCs/>
        </w:rPr>
        <w:t xml:space="preserve">EHV </w:t>
      </w:r>
      <w:r w:rsidR="0075698A">
        <w:rPr>
          <w:b/>
          <w:bCs/>
        </w:rPr>
        <w:t>(</w:t>
      </w:r>
      <w:r>
        <w:rPr>
          <w:b/>
          <w:bCs/>
        </w:rPr>
        <w:t>PHA</w:t>
      </w:r>
      <w:r w:rsidR="0075698A">
        <w:rPr>
          <w:b/>
          <w:bCs/>
        </w:rPr>
        <w:t>)</w:t>
      </w:r>
      <w:r>
        <w:rPr>
          <w:b/>
          <w:bCs/>
        </w:rPr>
        <w:t xml:space="preserve"> Transfers*:</w:t>
      </w:r>
    </w:p>
    <w:p w14:paraId="6CF1D55A" w14:textId="77777777" w:rsidR="00F02E5A" w:rsidRDefault="00F02E5A" w:rsidP="00F02E5A">
      <w:r>
        <w:t xml:space="preserve">A household is stably housed in PSH and no longer in need of PSH intensive case management supports and service needs can be met by transitioning to community-based case management can apply to transition out of a PSH project with a PHA set aside voucher. Referrals must be completed in accordance to the process outlined in this document and the </w:t>
      </w:r>
      <w:r w:rsidRPr="0094521A">
        <w:t xml:space="preserve">NY-603 PSH </w:t>
      </w:r>
      <w:r>
        <w:t>Housing</w:t>
      </w:r>
      <w:r w:rsidRPr="0094521A">
        <w:t xml:space="preserve"> S</w:t>
      </w:r>
      <w:r>
        <w:t xml:space="preserve">tability Application and Assessment. </w:t>
      </w:r>
    </w:p>
    <w:p w14:paraId="1BDBB190" w14:textId="77777777" w:rsidR="001D1807" w:rsidRDefault="001D1807" w:rsidP="00F02E5A"/>
    <w:p w14:paraId="61D32CD0" w14:textId="7EC30D21" w:rsidR="00F02E5A" w:rsidRDefault="00F02E5A" w:rsidP="00F02E5A">
      <w:pPr>
        <w:rPr>
          <w:b/>
          <w:bCs/>
          <w:i/>
          <w:iCs/>
        </w:rPr>
      </w:pPr>
      <w:r w:rsidRPr="00085716">
        <w:rPr>
          <w:b/>
          <w:bCs/>
          <w:i/>
          <w:iCs/>
        </w:rPr>
        <w:t xml:space="preserve">Documentation Necessary for PSH to PHA Transfers: </w:t>
      </w:r>
    </w:p>
    <w:p w14:paraId="0E933C8C" w14:textId="43D249C5" w:rsidR="00FB79BC" w:rsidRDefault="00FB79BC" w:rsidP="00F02E5A">
      <w:pPr>
        <w:pStyle w:val="ListParagraph"/>
        <w:numPr>
          <w:ilvl w:val="0"/>
          <w:numId w:val="7"/>
        </w:numPr>
        <w:rPr>
          <w:b/>
          <w:bCs/>
          <w:i/>
          <w:iCs/>
        </w:rPr>
      </w:pPr>
      <w:r>
        <w:rPr>
          <w:b/>
          <w:bCs/>
          <w:i/>
          <w:iCs/>
        </w:rPr>
        <w:t>Current Jurisdiction- Town of Brookhaven, Village of Hempstead, balance of Suffolk, balance of Nassau</w:t>
      </w:r>
    </w:p>
    <w:p w14:paraId="7D6B1D7F" w14:textId="65E49E21" w:rsidR="00F02E5A" w:rsidRPr="00FB414C" w:rsidRDefault="00F02E5A" w:rsidP="00F02E5A">
      <w:pPr>
        <w:pStyle w:val="ListParagraph"/>
        <w:numPr>
          <w:ilvl w:val="0"/>
          <w:numId w:val="7"/>
        </w:numPr>
        <w:rPr>
          <w:b/>
          <w:bCs/>
          <w:i/>
          <w:iCs/>
        </w:rPr>
      </w:pPr>
      <w:r>
        <w:rPr>
          <w:b/>
          <w:bCs/>
          <w:i/>
          <w:iCs/>
        </w:rPr>
        <w:t xml:space="preserve">NY-603 </w:t>
      </w:r>
      <w:r w:rsidRPr="00FB414C">
        <w:rPr>
          <w:b/>
          <w:bCs/>
          <w:i/>
          <w:iCs/>
        </w:rPr>
        <w:t>Housing Stability Application</w:t>
      </w:r>
      <w:r>
        <w:rPr>
          <w:b/>
          <w:bCs/>
          <w:i/>
          <w:iCs/>
        </w:rPr>
        <w:t>/Assessment</w:t>
      </w:r>
      <w:r w:rsidRPr="00FB414C">
        <w:rPr>
          <w:b/>
          <w:bCs/>
          <w:i/>
          <w:iCs/>
        </w:rPr>
        <w:t xml:space="preserve"> Completed;</w:t>
      </w:r>
    </w:p>
    <w:p w14:paraId="11578D99" w14:textId="77777777" w:rsidR="00F02E5A" w:rsidRPr="00FB414C" w:rsidRDefault="00F02E5A" w:rsidP="00F02E5A">
      <w:pPr>
        <w:pStyle w:val="ListParagraph"/>
        <w:numPr>
          <w:ilvl w:val="0"/>
          <w:numId w:val="7"/>
        </w:numPr>
        <w:rPr>
          <w:b/>
          <w:bCs/>
          <w:i/>
          <w:iCs/>
        </w:rPr>
      </w:pPr>
      <w:r w:rsidRPr="00FB414C">
        <w:rPr>
          <w:b/>
          <w:bCs/>
          <w:i/>
          <w:iCs/>
        </w:rPr>
        <w:t>Signed Supplement to Application for Federally Assisted Housing (HUD Form 92006);</w:t>
      </w:r>
    </w:p>
    <w:p w14:paraId="16810470" w14:textId="45D90A81" w:rsidR="00617473" w:rsidRDefault="00F02E5A" w:rsidP="00F02E5A">
      <w:pPr>
        <w:pStyle w:val="ListParagraph"/>
        <w:numPr>
          <w:ilvl w:val="0"/>
          <w:numId w:val="7"/>
        </w:numPr>
        <w:rPr>
          <w:b/>
          <w:bCs/>
          <w:i/>
          <w:iCs/>
        </w:rPr>
      </w:pPr>
      <w:r w:rsidRPr="00FB414C">
        <w:rPr>
          <w:b/>
          <w:bCs/>
          <w:i/>
          <w:iCs/>
        </w:rPr>
        <w:t>Description of plan to connect household to community-based case management</w:t>
      </w:r>
    </w:p>
    <w:p w14:paraId="3274CA09" w14:textId="27102EBF" w:rsidR="00D65A2C" w:rsidRDefault="002F2D9C" w:rsidP="00F02E5A">
      <w:pPr>
        <w:pStyle w:val="ListParagraph"/>
        <w:numPr>
          <w:ilvl w:val="0"/>
          <w:numId w:val="7"/>
        </w:numPr>
        <w:rPr>
          <w:b/>
          <w:bCs/>
          <w:i/>
          <w:iCs/>
        </w:rPr>
      </w:pPr>
      <w:r>
        <w:rPr>
          <w:b/>
          <w:bCs/>
          <w:i/>
          <w:iCs/>
        </w:rPr>
        <w:t xml:space="preserve">Describe </w:t>
      </w:r>
      <w:r w:rsidR="00BC0398">
        <w:rPr>
          <w:b/>
          <w:bCs/>
          <w:i/>
          <w:iCs/>
        </w:rPr>
        <w:t>why you feel confident that this household, if connected to a voucher</w:t>
      </w:r>
      <w:r w:rsidR="00DB491D">
        <w:rPr>
          <w:b/>
          <w:bCs/>
          <w:i/>
          <w:iCs/>
        </w:rPr>
        <w:t>,</w:t>
      </w:r>
      <w:r w:rsidR="00BC0398">
        <w:rPr>
          <w:b/>
          <w:bCs/>
          <w:i/>
          <w:iCs/>
        </w:rPr>
        <w:t xml:space="preserve"> can have a streamlined transition</w:t>
      </w:r>
      <w:r w:rsidR="00DB491D">
        <w:rPr>
          <w:b/>
          <w:bCs/>
          <w:i/>
          <w:iCs/>
        </w:rPr>
        <w:t xml:space="preserve"> and the provider’s role in furthering that process.</w:t>
      </w:r>
    </w:p>
    <w:p w14:paraId="32DE1CA5" w14:textId="3FC31A8C" w:rsidR="00C46D2C" w:rsidRPr="000C3910" w:rsidRDefault="00C46D2C" w:rsidP="00C46D2C">
      <w:pPr>
        <w:pStyle w:val="ListParagraph"/>
        <w:numPr>
          <w:ilvl w:val="0"/>
          <w:numId w:val="7"/>
        </w:numPr>
        <w:rPr>
          <w:b/>
          <w:bCs/>
          <w:i/>
          <w:iCs/>
        </w:rPr>
      </w:pPr>
      <w:r w:rsidRPr="000C3910">
        <w:rPr>
          <w:b/>
          <w:bCs/>
          <w:i/>
          <w:iCs/>
        </w:rPr>
        <w:t xml:space="preserve">Report the percent FMR of current unit that the household is residing and whether they are able to remain in the unit with a lease change over to a voucher. Please note that households in units that can transition in place may be prioritized in order to </w:t>
      </w:r>
      <w:r w:rsidR="0054151B" w:rsidRPr="000C3910">
        <w:rPr>
          <w:b/>
          <w:bCs/>
          <w:i/>
          <w:iCs/>
        </w:rPr>
        <w:t xml:space="preserve">streamline voucher lease ups and demonstrate expediency with PHA partners. </w:t>
      </w:r>
    </w:p>
    <w:p w14:paraId="21666945" w14:textId="18CB4E9C" w:rsidR="00FC5CB5" w:rsidRPr="000C3910" w:rsidRDefault="00FC5CB5" w:rsidP="00F02E5A">
      <w:pPr>
        <w:pStyle w:val="ListParagraph"/>
        <w:numPr>
          <w:ilvl w:val="0"/>
          <w:numId w:val="7"/>
        </w:numPr>
        <w:rPr>
          <w:b/>
          <w:bCs/>
          <w:i/>
          <w:iCs/>
        </w:rPr>
      </w:pPr>
      <w:r w:rsidRPr="000C3910">
        <w:rPr>
          <w:b/>
          <w:bCs/>
          <w:i/>
          <w:iCs/>
        </w:rPr>
        <w:t xml:space="preserve">PSH staff should obtain updated copies of documents such as </w:t>
      </w:r>
      <w:r w:rsidR="00FA54B2" w:rsidRPr="000C3910">
        <w:rPr>
          <w:b/>
          <w:bCs/>
          <w:i/>
          <w:iCs/>
        </w:rPr>
        <w:t>birth certificates, social security cards</w:t>
      </w:r>
      <w:r w:rsidR="00A83EB9" w:rsidRPr="000C3910">
        <w:rPr>
          <w:b/>
          <w:bCs/>
          <w:i/>
          <w:iCs/>
        </w:rPr>
        <w:t>, recent proof of income and asset, and school district verification, as these documents and others w</w:t>
      </w:r>
      <w:r w:rsidR="00737630" w:rsidRPr="000C3910">
        <w:rPr>
          <w:b/>
          <w:bCs/>
          <w:i/>
          <w:iCs/>
        </w:rPr>
        <w:t>ill need t</w:t>
      </w:r>
      <w:r w:rsidR="003D37DF" w:rsidRPr="000C3910">
        <w:rPr>
          <w:b/>
          <w:bCs/>
          <w:i/>
          <w:iCs/>
        </w:rPr>
        <w:t>o</w:t>
      </w:r>
      <w:r w:rsidR="00737630" w:rsidRPr="000C3910">
        <w:rPr>
          <w:b/>
          <w:bCs/>
          <w:i/>
          <w:iCs/>
        </w:rPr>
        <w:t xml:space="preserve"> be produced as part of the application process for vouchers. </w:t>
      </w:r>
      <w:r w:rsidR="006862A4" w:rsidRPr="000C3910">
        <w:rPr>
          <w:b/>
          <w:bCs/>
          <w:i/>
          <w:iCs/>
        </w:rPr>
        <w:t>US Citizenship is required.</w:t>
      </w:r>
    </w:p>
    <w:p w14:paraId="3ACF1593" w14:textId="4F4A0945" w:rsidR="007A6623" w:rsidRPr="00BF3865" w:rsidRDefault="00F02E5A" w:rsidP="00BF3865">
      <w:pPr>
        <w:ind w:left="360"/>
        <w:rPr>
          <w:b/>
          <w:bCs/>
          <w:i/>
          <w:iCs/>
        </w:rPr>
      </w:pPr>
      <w:r w:rsidRPr="002F7C71">
        <w:rPr>
          <w:b/>
          <w:bCs/>
          <w:i/>
          <w:iCs/>
        </w:rPr>
        <w:t xml:space="preserve">This information should be sent via email to </w:t>
      </w:r>
      <w:hyperlink r:id="rId11" w:history="1">
        <w:r w:rsidR="00F63E88" w:rsidRPr="003D6793">
          <w:rPr>
            <w:rStyle w:val="Hyperlink"/>
            <w:b/>
            <w:bCs/>
            <w:i/>
            <w:iCs/>
          </w:rPr>
          <w:t>EHV@addressthehomeless.org</w:t>
        </w:r>
      </w:hyperlink>
      <w:r w:rsidR="00F63E88">
        <w:rPr>
          <w:b/>
          <w:bCs/>
          <w:i/>
          <w:iCs/>
        </w:rPr>
        <w:t xml:space="preserve"> </w:t>
      </w:r>
    </w:p>
    <w:p w14:paraId="5B2CB9A1" w14:textId="5DDA3F83" w:rsidR="007A6623" w:rsidRDefault="007A6623" w:rsidP="00F02E5A">
      <w:pPr>
        <w:rPr>
          <w:b/>
        </w:rPr>
      </w:pPr>
    </w:p>
    <w:p w14:paraId="18C35F41" w14:textId="1A2A1236" w:rsidR="007A6623" w:rsidRDefault="007A6623" w:rsidP="00F02E5A">
      <w:pPr>
        <w:rPr>
          <w:b/>
        </w:rPr>
      </w:pPr>
    </w:p>
    <w:p w14:paraId="5B097409" w14:textId="45E43B6B" w:rsidR="007A6623" w:rsidRDefault="007A6623" w:rsidP="00F02E5A">
      <w:pPr>
        <w:rPr>
          <w:b/>
        </w:rPr>
      </w:pPr>
    </w:p>
    <w:p w14:paraId="5FC84C04" w14:textId="22190E9F" w:rsidR="00041483" w:rsidRDefault="00041483" w:rsidP="00F02E5A">
      <w:pPr>
        <w:rPr>
          <w:b/>
        </w:rPr>
      </w:pPr>
    </w:p>
    <w:p w14:paraId="3652A315" w14:textId="77777777" w:rsidR="00041483" w:rsidRDefault="00041483" w:rsidP="00F02E5A">
      <w:pPr>
        <w:rPr>
          <w:b/>
        </w:rPr>
      </w:pPr>
    </w:p>
    <w:p w14:paraId="020EF89B" w14:textId="77777777" w:rsidR="00D86538" w:rsidRPr="00A020A6" w:rsidRDefault="00D86538" w:rsidP="00F02E5A">
      <w:pPr>
        <w:rPr>
          <w:b/>
          <w:bCs/>
          <w:i/>
          <w:iCs/>
        </w:rPr>
      </w:pPr>
    </w:p>
    <w:p w14:paraId="0BB1CAEC" w14:textId="75DC5974" w:rsidR="00F02E5A" w:rsidRDefault="00F02E5A" w:rsidP="00F02E5A">
      <w:pPr>
        <w:jc w:val="center"/>
      </w:pPr>
      <w:r w:rsidRPr="006B2FF4">
        <w:rPr>
          <w:b/>
          <w:bCs/>
        </w:rPr>
        <w:lastRenderedPageBreak/>
        <w:t xml:space="preserve">RRH to </w:t>
      </w:r>
      <w:r w:rsidR="007A6623">
        <w:rPr>
          <w:b/>
          <w:bCs/>
        </w:rPr>
        <w:t xml:space="preserve">EHV </w:t>
      </w:r>
      <w:r w:rsidR="0075698A">
        <w:rPr>
          <w:b/>
          <w:bCs/>
        </w:rPr>
        <w:t>(</w:t>
      </w:r>
      <w:r w:rsidRPr="006B2FF4">
        <w:rPr>
          <w:b/>
          <w:bCs/>
        </w:rPr>
        <w:t>PHA</w:t>
      </w:r>
      <w:r w:rsidR="0075698A">
        <w:rPr>
          <w:b/>
          <w:bCs/>
        </w:rPr>
        <w:t>)</w:t>
      </w:r>
      <w:r>
        <w:rPr>
          <w:b/>
          <w:bCs/>
        </w:rPr>
        <w:t xml:space="preserve"> Transfers</w:t>
      </w:r>
      <w:r w:rsidRPr="006B2FF4">
        <w:rPr>
          <w:b/>
          <w:bCs/>
        </w:rPr>
        <w:t>:</w:t>
      </w:r>
    </w:p>
    <w:p w14:paraId="3EC274A2" w14:textId="0EFC0DE9" w:rsidR="00F02E5A" w:rsidRDefault="00F02E5A" w:rsidP="00F02E5A">
      <w:r>
        <w:t xml:space="preserve">Households may be transferred from rapid rehousing to a PHA’s HCV Program using a PHA set aside voucher if that household is </w:t>
      </w:r>
      <w:r w:rsidR="0002619D">
        <w:t>currently enrolled in</w:t>
      </w:r>
      <w:r>
        <w:t xml:space="preserve"> RRH</w:t>
      </w:r>
      <w:r w:rsidR="0002619D">
        <w:t xml:space="preserve"> </w:t>
      </w:r>
      <w:r w:rsidR="00B95EA8">
        <w:t>for more than one year and</w:t>
      </w:r>
      <w:r>
        <w:t xml:space="preserve"> do not have a sustainable housing plan where the household would be highly rent-burdened (over 50% of income toward rent). Referrals must be completed in accordance </w:t>
      </w:r>
      <w:r w:rsidR="00E9590B">
        <w:t>with</w:t>
      </w:r>
      <w:r>
        <w:t xml:space="preserve"> the process outlined in this document</w:t>
      </w:r>
      <w:r w:rsidR="003D1A7C">
        <w:t>.</w:t>
      </w:r>
    </w:p>
    <w:p w14:paraId="12DDFB58" w14:textId="77777777" w:rsidR="001D1807" w:rsidRDefault="001D1807" w:rsidP="00F02E5A"/>
    <w:p w14:paraId="5E13BC31" w14:textId="77777777" w:rsidR="00F02E5A" w:rsidRDefault="00F02E5A" w:rsidP="00F02E5A">
      <w:pPr>
        <w:rPr>
          <w:b/>
          <w:bCs/>
          <w:i/>
          <w:iCs/>
        </w:rPr>
      </w:pPr>
      <w:r w:rsidRPr="00261F19">
        <w:rPr>
          <w:b/>
          <w:bCs/>
          <w:i/>
          <w:iCs/>
        </w:rPr>
        <w:t>Documentation Necessary for RRH to P</w:t>
      </w:r>
      <w:r>
        <w:rPr>
          <w:b/>
          <w:bCs/>
          <w:i/>
          <w:iCs/>
        </w:rPr>
        <w:t>HA</w:t>
      </w:r>
      <w:r w:rsidRPr="00261F19">
        <w:rPr>
          <w:b/>
          <w:bCs/>
          <w:i/>
          <w:iCs/>
        </w:rPr>
        <w:t xml:space="preserve"> Transfers: </w:t>
      </w:r>
    </w:p>
    <w:p w14:paraId="41EFDD69" w14:textId="41007966" w:rsidR="009508E5" w:rsidRPr="000C3910" w:rsidRDefault="009508E5" w:rsidP="009508E5">
      <w:pPr>
        <w:pStyle w:val="ListParagraph"/>
        <w:numPr>
          <w:ilvl w:val="0"/>
          <w:numId w:val="8"/>
        </w:numPr>
        <w:rPr>
          <w:b/>
          <w:bCs/>
          <w:i/>
          <w:iCs/>
        </w:rPr>
      </w:pPr>
      <w:r w:rsidRPr="000C3910">
        <w:rPr>
          <w:b/>
          <w:bCs/>
          <w:i/>
          <w:iCs/>
        </w:rPr>
        <w:t>Current Jurisdiction- Town of Brookhaven, Village of Hempstead, balance of Suffolk, balance of Nassau</w:t>
      </w:r>
    </w:p>
    <w:p w14:paraId="160EC12F" w14:textId="70B74570" w:rsidR="00CD1029" w:rsidRPr="00CD1029" w:rsidRDefault="00CD1029" w:rsidP="00CD1029">
      <w:pPr>
        <w:numPr>
          <w:ilvl w:val="0"/>
          <w:numId w:val="8"/>
        </w:numPr>
        <w:rPr>
          <w:b/>
          <w:bCs/>
          <w:i/>
          <w:iCs/>
        </w:rPr>
      </w:pPr>
      <w:r w:rsidRPr="00CD1029">
        <w:rPr>
          <w:b/>
          <w:bCs/>
          <w:i/>
          <w:iCs/>
        </w:rPr>
        <w:t>Signed Supplement to Application for Federally Assisted Housing (HUD Form 92006);</w:t>
      </w:r>
    </w:p>
    <w:p w14:paraId="4F15F493" w14:textId="77777777" w:rsidR="00CD1029" w:rsidRPr="00CD1029" w:rsidRDefault="00CD1029" w:rsidP="00CD1029">
      <w:pPr>
        <w:numPr>
          <w:ilvl w:val="0"/>
          <w:numId w:val="8"/>
        </w:numPr>
        <w:rPr>
          <w:b/>
          <w:bCs/>
          <w:i/>
          <w:iCs/>
        </w:rPr>
      </w:pPr>
      <w:r w:rsidRPr="00CD1029">
        <w:rPr>
          <w:b/>
          <w:bCs/>
          <w:i/>
          <w:iCs/>
        </w:rPr>
        <w:t>Written explanation of all attempts made to stabilize and sustain a permanent living situation;</w:t>
      </w:r>
    </w:p>
    <w:p w14:paraId="185496B4" w14:textId="77777777" w:rsidR="00CD1029" w:rsidRPr="00CD1029" w:rsidRDefault="00CD1029" w:rsidP="00CD1029">
      <w:pPr>
        <w:numPr>
          <w:ilvl w:val="0"/>
          <w:numId w:val="8"/>
        </w:numPr>
        <w:rPr>
          <w:b/>
          <w:bCs/>
          <w:i/>
          <w:iCs/>
        </w:rPr>
      </w:pPr>
      <w:r w:rsidRPr="00CD1029">
        <w:rPr>
          <w:b/>
          <w:bCs/>
          <w:i/>
          <w:iCs/>
        </w:rPr>
        <w:t>Barriers to housing sustainability that make it a strong possibility that the household would be at immediate risk of returning to homelessness once RRH program ends;</w:t>
      </w:r>
    </w:p>
    <w:p w14:paraId="00262F11" w14:textId="77777777" w:rsidR="00CD1029" w:rsidRPr="00CD1029" w:rsidRDefault="00CD1029" w:rsidP="00CD1029">
      <w:pPr>
        <w:numPr>
          <w:ilvl w:val="0"/>
          <w:numId w:val="8"/>
        </w:numPr>
        <w:rPr>
          <w:b/>
          <w:bCs/>
          <w:i/>
          <w:iCs/>
        </w:rPr>
      </w:pPr>
      <w:r w:rsidRPr="00CD1029">
        <w:rPr>
          <w:b/>
          <w:bCs/>
          <w:i/>
          <w:iCs/>
        </w:rPr>
        <w:t>[For DV CE written explanation of any immediate safety risks the household could face once the program ends]</w:t>
      </w:r>
    </w:p>
    <w:p w14:paraId="53E85114" w14:textId="05514DEE" w:rsidR="00CD1029" w:rsidRDefault="00CD1029" w:rsidP="00CD1029">
      <w:pPr>
        <w:numPr>
          <w:ilvl w:val="0"/>
          <w:numId w:val="8"/>
        </w:numPr>
        <w:rPr>
          <w:b/>
          <w:bCs/>
          <w:i/>
          <w:iCs/>
        </w:rPr>
      </w:pPr>
      <w:r w:rsidRPr="00CD1029">
        <w:rPr>
          <w:b/>
          <w:bCs/>
          <w:i/>
          <w:iCs/>
        </w:rPr>
        <w:t>Description of plan to connect provide transition case management and/or link to community-based case management</w:t>
      </w:r>
    </w:p>
    <w:p w14:paraId="4EB22D32" w14:textId="1DEEFF6E" w:rsidR="00DD4379" w:rsidRDefault="00DD4379" w:rsidP="00DD4379">
      <w:pPr>
        <w:pStyle w:val="ListParagraph"/>
        <w:numPr>
          <w:ilvl w:val="0"/>
          <w:numId w:val="8"/>
        </w:numPr>
        <w:rPr>
          <w:b/>
          <w:bCs/>
          <w:i/>
          <w:iCs/>
        </w:rPr>
      </w:pPr>
      <w:r>
        <w:rPr>
          <w:b/>
          <w:bCs/>
          <w:i/>
          <w:iCs/>
        </w:rPr>
        <w:t>Describe why you feel confident that this household, if connected to a voucher, can have a streamlined transition and the provider’s role in furthering that process.</w:t>
      </w:r>
    </w:p>
    <w:p w14:paraId="74C9DB33" w14:textId="77777777" w:rsidR="00C90692" w:rsidRDefault="00C90692" w:rsidP="00C90692">
      <w:pPr>
        <w:pStyle w:val="ListParagraph"/>
        <w:rPr>
          <w:b/>
          <w:bCs/>
          <w:i/>
          <w:iCs/>
        </w:rPr>
      </w:pPr>
    </w:p>
    <w:p w14:paraId="2F511BFF" w14:textId="7B008192" w:rsidR="00C90692" w:rsidRPr="000C3910" w:rsidRDefault="00C90692" w:rsidP="00C90692">
      <w:pPr>
        <w:pStyle w:val="ListParagraph"/>
        <w:numPr>
          <w:ilvl w:val="0"/>
          <w:numId w:val="8"/>
        </w:numPr>
        <w:rPr>
          <w:b/>
          <w:bCs/>
          <w:i/>
          <w:iCs/>
        </w:rPr>
      </w:pPr>
      <w:r w:rsidRPr="000C3910">
        <w:rPr>
          <w:b/>
          <w:bCs/>
          <w:i/>
          <w:iCs/>
        </w:rPr>
        <w:t>Report the percent FMR of current unit that the household is residing and whether they are able to remain in the unit with</w:t>
      </w:r>
      <w:r w:rsidR="003878D7" w:rsidRPr="000C3910">
        <w:rPr>
          <w:b/>
          <w:bCs/>
          <w:i/>
          <w:iCs/>
        </w:rPr>
        <w:t xml:space="preserve"> a lease change over to a voucher. </w:t>
      </w:r>
      <w:r w:rsidR="0054151B" w:rsidRPr="000C3910">
        <w:rPr>
          <w:b/>
          <w:bCs/>
          <w:i/>
          <w:iCs/>
        </w:rPr>
        <w:t>Please note that households in units that can transition in place may be prioritized in order to streamline voucher lease ups and demonstrate expediency with PHA partners.</w:t>
      </w:r>
    </w:p>
    <w:p w14:paraId="59570DC7" w14:textId="77777777" w:rsidR="00877D76" w:rsidRPr="000C3910" w:rsidRDefault="00877D76" w:rsidP="00877D76">
      <w:pPr>
        <w:pStyle w:val="ListParagraph"/>
        <w:rPr>
          <w:b/>
          <w:bCs/>
          <w:i/>
          <w:iCs/>
        </w:rPr>
      </w:pPr>
    </w:p>
    <w:p w14:paraId="65955D5D" w14:textId="162B030D" w:rsidR="00877D76" w:rsidRPr="000C3910" w:rsidRDefault="00FF0421" w:rsidP="00877D76">
      <w:pPr>
        <w:pStyle w:val="ListParagraph"/>
        <w:numPr>
          <w:ilvl w:val="0"/>
          <w:numId w:val="8"/>
        </w:numPr>
        <w:rPr>
          <w:b/>
          <w:bCs/>
          <w:i/>
          <w:iCs/>
        </w:rPr>
      </w:pPr>
      <w:r w:rsidRPr="000C3910">
        <w:rPr>
          <w:b/>
          <w:bCs/>
          <w:i/>
          <w:iCs/>
        </w:rPr>
        <w:t>RR</w:t>
      </w:r>
      <w:r w:rsidR="00877D76" w:rsidRPr="000C3910">
        <w:rPr>
          <w:b/>
          <w:bCs/>
          <w:i/>
          <w:iCs/>
        </w:rPr>
        <w:t>H staff should obtain updated copies of documents such as birth certificates, social security cards, recent proof of income and asset, and school district verification, as these documents and others will need t</w:t>
      </w:r>
      <w:r w:rsidR="009C69E1" w:rsidRPr="000C3910">
        <w:rPr>
          <w:b/>
          <w:bCs/>
          <w:i/>
          <w:iCs/>
        </w:rPr>
        <w:t>o</w:t>
      </w:r>
      <w:r w:rsidR="00877D76" w:rsidRPr="000C3910">
        <w:rPr>
          <w:b/>
          <w:bCs/>
          <w:i/>
          <w:iCs/>
        </w:rPr>
        <w:t xml:space="preserve"> be produced as part of the application process for vouchers</w:t>
      </w:r>
      <w:r w:rsidR="006862A4" w:rsidRPr="000C3910">
        <w:rPr>
          <w:b/>
          <w:bCs/>
          <w:i/>
          <w:iCs/>
        </w:rPr>
        <w:t>. US Citizenship is required.</w:t>
      </w:r>
    </w:p>
    <w:p w14:paraId="35FA7CE0" w14:textId="77777777" w:rsidR="00877D76" w:rsidRDefault="00877D76" w:rsidP="00FF0421">
      <w:pPr>
        <w:pStyle w:val="ListParagraph"/>
        <w:rPr>
          <w:b/>
          <w:bCs/>
          <w:i/>
          <w:iCs/>
        </w:rPr>
      </w:pPr>
    </w:p>
    <w:p w14:paraId="1B275345" w14:textId="77777777" w:rsidR="00DD4379" w:rsidRPr="00CD1029" w:rsidRDefault="00DD4379" w:rsidP="00DD4379">
      <w:pPr>
        <w:ind w:left="720"/>
        <w:rPr>
          <w:b/>
          <w:bCs/>
          <w:i/>
          <w:iCs/>
        </w:rPr>
      </w:pPr>
    </w:p>
    <w:p w14:paraId="75030B1B" w14:textId="77777777" w:rsidR="00F63E88" w:rsidRPr="00992CD8" w:rsidRDefault="00F63E88" w:rsidP="00F63E88">
      <w:pPr>
        <w:pStyle w:val="ListParagraph"/>
      </w:pPr>
      <w:r w:rsidRPr="00FA1083">
        <w:rPr>
          <w:b/>
          <w:bCs/>
          <w:i/>
          <w:iCs/>
        </w:rPr>
        <w:t xml:space="preserve">This information should be sent via email </w:t>
      </w:r>
      <w:r>
        <w:rPr>
          <w:b/>
          <w:bCs/>
          <w:i/>
          <w:iCs/>
        </w:rPr>
        <w:t xml:space="preserve">to </w:t>
      </w:r>
      <w:hyperlink r:id="rId12" w:history="1">
        <w:r w:rsidRPr="003D6793">
          <w:rPr>
            <w:rStyle w:val="Hyperlink"/>
            <w:b/>
            <w:bCs/>
            <w:i/>
            <w:iCs/>
          </w:rPr>
          <w:t>EHV@addressthehomeless.org</w:t>
        </w:r>
      </w:hyperlink>
      <w:r>
        <w:rPr>
          <w:b/>
          <w:bCs/>
          <w:i/>
          <w:iCs/>
        </w:rPr>
        <w:t xml:space="preserve"> </w:t>
      </w:r>
      <w:r w:rsidRPr="00FA1083">
        <w:rPr>
          <w:b/>
          <w:bCs/>
          <w:i/>
          <w:iCs/>
        </w:rPr>
        <w:t xml:space="preserve">or to DV CE at </w:t>
      </w:r>
      <w:hyperlink r:id="rId13" w:history="1">
        <w:r w:rsidRPr="00FA1083">
          <w:rPr>
            <w:rStyle w:val="Hyperlink"/>
            <w:b/>
            <w:bCs/>
            <w:i/>
            <w:iCs/>
          </w:rPr>
          <w:t>dvces@tscli.org</w:t>
        </w:r>
      </w:hyperlink>
      <w:r>
        <w:rPr>
          <w:b/>
          <w:bCs/>
          <w:i/>
          <w:iCs/>
        </w:rPr>
        <w:t xml:space="preserve">. </w:t>
      </w:r>
    </w:p>
    <w:p w14:paraId="030B1BD1" w14:textId="77777777" w:rsidR="009442E3" w:rsidRPr="00384EE6" w:rsidRDefault="009442E3" w:rsidP="00F02E5A">
      <w:pPr>
        <w:rPr>
          <w:sz w:val="24"/>
          <w:szCs w:val="24"/>
        </w:rPr>
      </w:pPr>
    </w:p>
    <w:p w14:paraId="3D0174BB" w14:textId="70855394" w:rsidR="00992CD8" w:rsidRPr="00992CD8" w:rsidRDefault="00992CD8" w:rsidP="00992CD8">
      <w:pPr>
        <w:pStyle w:val="ListParagraph"/>
      </w:pPr>
      <w:r>
        <w:rPr>
          <w:b/>
          <w:bCs/>
          <w:i/>
          <w:iCs/>
        </w:rPr>
        <w:t xml:space="preserve"> </w:t>
      </w:r>
    </w:p>
    <w:sectPr w:rsidR="00992CD8" w:rsidRPr="00992CD8" w:rsidSect="005466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32B1" w14:textId="77777777" w:rsidR="00683BE0" w:rsidRDefault="00683BE0" w:rsidP="00F02E5A">
      <w:pPr>
        <w:spacing w:after="0" w:line="240" w:lineRule="auto"/>
      </w:pPr>
      <w:r>
        <w:separator/>
      </w:r>
    </w:p>
  </w:endnote>
  <w:endnote w:type="continuationSeparator" w:id="0">
    <w:p w14:paraId="108EBB19" w14:textId="77777777" w:rsidR="00683BE0" w:rsidRDefault="00683BE0" w:rsidP="00F02E5A">
      <w:pPr>
        <w:spacing w:after="0" w:line="240" w:lineRule="auto"/>
      </w:pPr>
      <w:r>
        <w:continuationSeparator/>
      </w:r>
    </w:p>
  </w:endnote>
  <w:endnote w:type="continuationNotice" w:id="1">
    <w:p w14:paraId="46B45649" w14:textId="77777777" w:rsidR="00683BE0" w:rsidRDefault="00683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5742" w14:textId="77777777" w:rsidR="00683BE0" w:rsidRDefault="00683BE0" w:rsidP="00F02E5A">
      <w:pPr>
        <w:spacing w:after="0" w:line="240" w:lineRule="auto"/>
      </w:pPr>
      <w:r>
        <w:separator/>
      </w:r>
    </w:p>
  </w:footnote>
  <w:footnote w:type="continuationSeparator" w:id="0">
    <w:p w14:paraId="13FDE19B" w14:textId="77777777" w:rsidR="00683BE0" w:rsidRDefault="00683BE0" w:rsidP="00F02E5A">
      <w:pPr>
        <w:spacing w:after="0" w:line="240" w:lineRule="auto"/>
      </w:pPr>
      <w:r>
        <w:continuationSeparator/>
      </w:r>
    </w:p>
  </w:footnote>
  <w:footnote w:type="continuationNotice" w:id="1">
    <w:p w14:paraId="4F203870" w14:textId="77777777" w:rsidR="00683BE0" w:rsidRDefault="00683B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4B7"/>
    <w:multiLevelType w:val="hybridMultilevel"/>
    <w:tmpl w:val="8BCA451C"/>
    <w:lvl w:ilvl="0" w:tplc="E0469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42AE"/>
    <w:multiLevelType w:val="hybridMultilevel"/>
    <w:tmpl w:val="0F242ADA"/>
    <w:lvl w:ilvl="0" w:tplc="7E64417C">
      <w:start w:val="1"/>
      <w:numFmt w:val="bullet"/>
      <w:lvlText w:val=""/>
      <w:lvlJc w:val="left"/>
      <w:pPr>
        <w:tabs>
          <w:tab w:val="num" w:pos="720"/>
        </w:tabs>
        <w:ind w:left="720" w:hanging="360"/>
      </w:pPr>
      <w:rPr>
        <w:rFonts w:ascii="Symbol" w:hAnsi="Symbol" w:hint="default"/>
      </w:rPr>
    </w:lvl>
    <w:lvl w:ilvl="1" w:tplc="81B2F02A" w:tentative="1">
      <w:start w:val="1"/>
      <w:numFmt w:val="bullet"/>
      <w:lvlText w:val=""/>
      <w:lvlJc w:val="left"/>
      <w:pPr>
        <w:tabs>
          <w:tab w:val="num" w:pos="1440"/>
        </w:tabs>
        <w:ind w:left="1440" w:hanging="360"/>
      </w:pPr>
      <w:rPr>
        <w:rFonts w:ascii="Symbol" w:hAnsi="Symbol" w:hint="default"/>
      </w:rPr>
    </w:lvl>
    <w:lvl w:ilvl="2" w:tplc="FF8E8EFC" w:tentative="1">
      <w:start w:val="1"/>
      <w:numFmt w:val="bullet"/>
      <w:lvlText w:val=""/>
      <w:lvlJc w:val="left"/>
      <w:pPr>
        <w:tabs>
          <w:tab w:val="num" w:pos="2160"/>
        </w:tabs>
        <w:ind w:left="2160" w:hanging="360"/>
      </w:pPr>
      <w:rPr>
        <w:rFonts w:ascii="Symbol" w:hAnsi="Symbol" w:hint="default"/>
      </w:rPr>
    </w:lvl>
    <w:lvl w:ilvl="3" w:tplc="D44AAE5A" w:tentative="1">
      <w:start w:val="1"/>
      <w:numFmt w:val="bullet"/>
      <w:lvlText w:val=""/>
      <w:lvlJc w:val="left"/>
      <w:pPr>
        <w:tabs>
          <w:tab w:val="num" w:pos="2880"/>
        </w:tabs>
        <w:ind w:left="2880" w:hanging="360"/>
      </w:pPr>
      <w:rPr>
        <w:rFonts w:ascii="Symbol" w:hAnsi="Symbol" w:hint="default"/>
      </w:rPr>
    </w:lvl>
    <w:lvl w:ilvl="4" w:tplc="425E9ADA" w:tentative="1">
      <w:start w:val="1"/>
      <w:numFmt w:val="bullet"/>
      <w:lvlText w:val=""/>
      <w:lvlJc w:val="left"/>
      <w:pPr>
        <w:tabs>
          <w:tab w:val="num" w:pos="3600"/>
        </w:tabs>
        <w:ind w:left="3600" w:hanging="360"/>
      </w:pPr>
      <w:rPr>
        <w:rFonts w:ascii="Symbol" w:hAnsi="Symbol" w:hint="default"/>
      </w:rPr>
    </w:lvl>
    <w:lvl w:ilvl="5" w:tplc="2D50AB96" w:tentative="1">
      <w:start w:val="1"/>
      <w:numFmt w:val="bullet"/>
      <w:lvlText w:val=""/>
      <w:lvlJc w:val="left"/>
      <w:pPr>
        <w:tabs>
          <w:tab w:val="num" w:pos="4320"/>
        </w:tabs>
        <w:ind w:left="4320" w:hanging="360"/>
      </w:pPr>
      <w:rPr>
        <w:rFonts w:ascii="Symbol" w:hAnsi="Symbol" w:hint="default"/>
      </w:rPr>
    </w:lvl>
    <w:lvl w:ilvl="6" w:tplc="08342364" w:tentative="1">
      <w:start w:val="1"/>
      <w:numFmt w:val="bullet"/>
      <w:lvlText w:val=""/>
      <w:lvlJc w:val="left"/>
      <w:pPr>
        <w:tabs>
          <w:tab w:val="num" w:pos="5040"/>
        </w:tabs>
        <w:ind w:left="5040" w:hanging="360"/>
      </w:pPr>
      <w:rPr>
        <w:rFonts w:ascii="Symbol" w:hAnsi="Symbol" w:hint="default"/>
      </w:rPr>
    </w:lvl>
    <w:lvl w:ilvl="7" w:tplc="FB9C39E8" w:tentative="1">
      <w:start w:val="1"/>
      <w:numFmt w:val="bullet"/>
      <w:lvlText w:val=""/>
      <w:lvlJc w:val="left"/>
      <w:pPr>
        <w:tabs>
          <w:tab w:val="num" w:pos="5760"/>
        </w:tabs>
        <w:ind w:left="5760" w:hanging="360"/>
      </w:pPr>
      <w:rPr>
        <w:rFonts w:ascii="Symbol" w:hAnsi="Symbol" w:hint="default"/>
      </w:rPr>
    </w:lvl>
    <w:lvl w:ilvl="8" w:tplc="F14C79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1E47A3"/>
    <w:multiLevelType w:val="hybridMultilevel"/>
    <w:tmpl w:val="0C64A0E4"/>
    <w:lvl w:ilvl="0" w:tplc="C4DA8338">
      <w:start w:val="1"/>
      <w:numFmt w:val="bullet"/>
      <w:lvlText w:val="•"/>
      <w:lvlJc w:val="left"/>
      <w:pPr>
        <w:tabs>
          <w:tab w:val="num" w:pos="720"/>
        </w:tabs>
        <w:ind w:left="720" w:hanging="360"/>
      </w:pPr>
      <w:rPr>
        <w:rFonts w:ascii="Arial" w:hAnsi="Arial" w:hint="default"/>
      </w:rPr>
    </w:lvl>
    <w:lvl w:ilvl="1" w:tplc="97FE7BA8" w:tentative="1">
      <w:start w:val="1"/>
      <w:numFmt w:val="bullet"/>
      <w:lvlText w:val="•"/>
      <w:lvlJc w:val="left"/>
      <w:pPr>
        <w:tabs>
          <w:tab w:val="num" w:pos="1440"/>
        </w:tabs>
        <w:ind w:left="1440" w:hanging="360"/>
      </w:pPr>
      <w:rPr>
        <w:rFonts w:ascii="Arial" w:hAnsi="Arial" w:hint="default"/>
      </w:rPr>
    </w:lvl>
    <w:lvl w:ilvl="2" w:tplc="5882E6EA" w:tentative="1">
      <w:start w:val="1"/>
      <w:numFmt w:val="bullet"/>
      <w:lvlText w:val="•"/>
      <w:lvlJc w:val="left"/>
      <w:pPr>
        <w:tabs>
          <w:tab w:val="num" w:pos="2160"/>
        </w:tabs>
        <w:ind w:left="2160" w:hanging="360"/>
      </w:pPr>
      <w:rPr>
        <w:rFonts w:ascii="Arial" w:hAnsi="Arial" w:hint="default"/>
      </w:rPr>
    </w:lvl>
    <w:lvl w:ilvl="3" w:tplc="1EE0FE96" w:tentative="1">
      <w:start w:val="1"/>
      <w:numFmt w:val="bullet"/>
      <w:lvlText w:val="•"/>
      <w:lvlJc w:val="left"/>
      <w:pPr>
        <w:tabs>
          <w:tab w:val="num" w:pos="2880"/>
        </w:tabs>
        <w:ind w:left="2880" w:hanging="360"/>
      </w:pPr>
      <w:rPr>
        <w:rFonts w:ascii="Arial" w:hAnsi="Arial" w:hint="default"/>
      </w:rPr>
    </w:lvl>
    <w:lvl w:ilvl="4" w:tplc="51F0E8E2" w:tentative="1">
      <w:start w:val="1"/>
      <w:numFmt w:val="bullet"/>
      <w:lvlText w:val="•"/>
      <w:lvlJc w:val="left"/>
      <w:pPr>
        <w:tabs>
          <w:tab w:val="num" w:pos="3600"/>
        </w:tabs>
        <w:ind w:left="3600" w:hanging="360"/>
      </w:pPr>
      <w:rPr>
        <w:rFonts w:ascii="Arial" w:hAnsi="Arial" w:hint="default"/>
      </w:rPr>
    </w:lvl>
    <w:lvl w:ilvl="5" w:tplc="EC9E072A" w:tentative="1">
      <w:start w:val="1"/>
      <w:numFmt w:val="bullet"/>
      <w:lvlText w:val="•"/>
      <w:lvlJc w:val="left"/>
      <w:pPr>
        <w:tabs>
          <w:tab w:val="num" w:pos="4320"/>
        </w:tabs>
        <w:ind w:left="4320" w:hanging="360"/>
      </w:pPr>
      <w:rPr>
        <w:rFonts w:ascii="Arial" w:hAnsi="Arial" w:hint="default"/>
      </w:rPr>
    </w:lvl>
    <w:lvl w:ilvl="6" w:tplc="29BECB60" w:tentative="1">
      <w:start w:val="1"/>
      <w:numFmt w:val="bullet"/>
      <w:lvlText w:val="•"/>
      <w:lvlJc w:val="left"/>
      <w:pPr>
        <w:tabs>
          <w:tab w:val="num" w:pos="5040"/>
        </w:tabs>
        <w:ind w:left="5040" w:hanging="360"/>
      </w:pPr>
      <w:rPr>
        <w:rFonts w:ascii="Arial" w:hAnsi="Arial" w:hint="default"/>
      </w:rPr>
    </w:lvl>
    <w:lvl w:ilvl="7" w:tplc="C37E41C0" w:tentative="1">
      <w:start w:val="1"/>
      <w:numFmt w:val="bullet"/>
      <w:lvlText w:val="•"/>
      <w:lvlJc w:val="left"/>
      <w:pPr>
        <w:tabs>
          <w:tab w:val="num" w:pos="5760"/>
        </w:tabs>
        <w:ind w:left="5760" w:hanging="360"/>
      </w:pPr>
      <w:rPr>
        <w:rFonts w:ascii="Arial" w:hAnsi="Arial" w:hint="default"/>
      </w:rPr>
    </w:lvl>
    <w:lvl w:ilvl="8" w:tplc="DA20B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E90C80"/>
    <w:multiLevelType w:val="hybridMultilevel"/>
    <w:tmpl w:val="64EA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05C10"/>
    <w:multiLevelType w:val="multilevel"/>
    <w:tmpl w:val="395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53562"/>
    <w:multiLevelType w:val="hybridMultilevel"/>
    <w:tmpl w:val="9636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52726"/>
    <w:multiLevelType w:val="hybridMultilevel"/>
    <w:tmpl w:val="3A4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2265E"/>
    <w:multiLevelType w:val="hybridMultilevel"/>
    <w:tmpl w:val="1FD6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2598A"/>
    <w:multiLevelType w:val="hybridMultilevel"/>
    <w:tmpl w:val="997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414C"/>
    <w:multiLevelType w:val="hybridMultilevel"/>
    <w:tmpl w:val="A2C88236"/>
    <w:lvl w:ilvl="0" w:tplc="BA361B7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33F12"/>
    <w:multiLevelType w:val="hybridMultilevel"/>
    <w:tmpl w:val="C77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A0136"/>
    <w:multiLevelType w:val="hybridMultilevel"/>
    <w:tmpl w:val="6A18954E"/>
    <w:lvl w:ilvl="0" w:tplc="55EC96C2">
      <w:start w:val="1"/>
      <w:numFmt w:val="bullet"/>
      <w:lvlText w:val="•"/>
      <w:lvlJc w:val="left"/>
      <w:pPr>
        <w:tabs>
          <w:tab w:val="num" w:pos="720"/>
        </w:tabs>
        <w:ind w:left="720" w:hanging="360"/>
      </w:pPr>
      <w:rPr>
        <w:rFonts w:ascii="Arial" w:hAnsi="Arial" w:hint="default"/>
      </w:rPr>
    </w:lvl>
    <w:lvl w:ilvl="1" w:tplc="3E84ABCC" w:tentative="1">
      <w:start w:val="1"/>
      <w:numFmt w:val="bullet"/>
      <w:lvlText w:val="•"/>
      <w:lvlJc w:val="left"/>
      <w:pPr>
        <w:tabs>
          <w:tab w:val="num" w:pos="1440"/>
        </w:tabs>
        <w:ind w:left="1440" w:hanging="360"/>
      </w:pPr>
      <w:rPr>
        <w:rFonts w:ascii="Arial" w:hAnsi="Arial" w:hint="default"/>
      </w:rPr>
    </w:lvl>
    <w:lvl w:ilvl="2" w:tplc="463CEBB2" w:tentative="1">
      <w:start w:val="1"/>
      <w:numFmt w:val="bullet"/>
      <w:lvlText w:val="•"/>
      <w:lvlJc w:val="left"/>
      <w:pPr>
        <w:tabs>
          <w:tab w:val="num" w:pos="2160"/>
        </w:tabs>
        <w:ind w:left="2160" w:hanging="360"/>
      </w:pPr>
      <w:rPr>
        <w:rFonts w:ascii="Arial" w:hAnsi="Arial" w:hint="default"/>
      </w:rPr>
    </w:lvl>
    <w:lvl w:ilvl="3" w:tplc="AED46D28" w:tentative="1">
      <w:start w:val="1"/>
      <w:numFmt w:val="bullet"/>
      <w:lvlText w:val="•"/>
      <w:lvlJc w:val="left"/>
      <w:pPr>
        <w:tabs>
          <w:tab w:val="num" w:pos="2880"/>
        </w:tabs>
        <w:ind w:left="2880" w:hanging="360"/>
      </w:pPr>
      <w:rPr>
        <w:rFonts w:ascii="Arial" w:hAnsi="Arial" w:hint="default"/>
      </w:rPr>
    </w:lvl>
    <w:lvl w:ilvl="4" w:tplc="10365E3E" w:tentative="1">
      <w:start w:val="1"/>
      <w:numFmt w:val="bullet"/>
      <w:lvlText w:val="•"/>
      <w:lvlJc w:val="left"/>
      <w:pPr>
        <w:tabs>
          <w:tab w:val="num" w:pos="3600"/>
        </w:tabs>
        <w:ind w:left="3600" w:hanging="360"/>
      </w:pPr>
      <w:rPr>
        <w:rFonts w:ascii="Arial" w:hAnsi="Arial" w:hint="default"/>
      </w:rPr>
    </w:lvl>
    <w:lvl w:ilvl="5" w:tplc="E826C12A" w:tentative="1">
      <w:start w:val="1"/>
      <w:numFmt w:val="bullet"/>
      <w:lvlText w:val="•"/>
      <w:lvlJc w:val="left"/>
      <w:pPr>
        <w:tabs>
          <w:tab w:val="num" w:pos="4320"/>
        </w:tabs>
        <w:ind w:left="4320" w:hanging="360"/>
      </w:pPr>
      <w:rPr>
        <w:rFonts w:ascii="Arial" w:hAnsi="Arial" w:hint="default"/>
      </w:rPr>
    </w:lvl>
    <w:lvl w:ilvl="6" w:tplc="DB888AB4" w:tentative="1">
      <w:start w:val="1"/>
      <w:numFmt w:val="bullet"/>
      <w:lvlText w:val="•"/>
      <w:lvlJc w:val="left"/>
      <w:pPr>
        <w:tabs>
          <w:tab w:val="num" w:pos="5040"/>
        </w:tabs>
        <w:ind w:left="5040" w:hanging="360"/>
      </w:pPr>
      <w:rPr>
        <w:rFonts w:ascii="Arial" w:hAnsi="Arial" w:hint="default"/>
      </w:rPr>
    </w:lvl>
    <w:lvl w:ilvl="7" w:tplc="900EE760" w:tentative="1">
      <w:start w:val="1"/>
      <w:numFmt w:val="bullet"/>
      <w:lvlText w:val="•"/>
      <w:lvlJc w:val="left"/>
      <w:pPr>
        <w:tabs>
          <w:tab w:val="num" w:pos="5760"/>
        </w:tabs>
        <w:ind w:left="5760" w:hanging="360"/>
      </w:pPr>
      <w:rPr>
        <w:rFonts w:ascii="Arial" w:hAnsi="Arial" w:hint="default"/>
      </w:rPr>
    </w:lvl>
    <w:lvl w:ilvl="8" w:tplc="07CECC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880D48"/>
    <w:multiLevelType w:val="hybridMultilevel"/>
    <w:tmpl w:val="4918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91E88"/>
    <w:multiLevelType w:val="multilevel"/>
    <w:tmpl w:val="F42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E577CC"/>
    <w:multiLevelType w:val="hybridMultilevel"/>
    <w:tmpl w:val="18ACD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850AAB"/>
    <w:multiLevelType w:val="hybridMultilevel"/>
    <w:tmpl w:val="C1FEE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7350382">
    <w:abstractNumId w:val="5"/>
  </w:num>
  <w:num w:numId="2" w16cid:durableId="329868502">
    <w:abstractNumId w:val="3"/>
  </w:num>
  <w:num w:numId="3" w16cid:durableId="1272006705">
    <w:abstractNumId w:val="7"/>
  </w:num>
  <w:num w:numId="4" w16cid:durableId="886599010">
    <w:abstractNumId w:val="4"/>
  </w:num>
  <w:num w:numId="5" w16cid:durableId="2058434771">
    <w:abstractNumId w:val="8"/>
  </w:num>
  <w:num w:numId="6" w16cid:durableId="1843858351">
    <w:abstractNumId w:val="12"/>
  </w:num>
  <w:num w:numId="7" w16cid:durableId="1401365145">
    <w:abstractNumId w:val="10"/>
  </w:num>
  <w:num w:numId="8" w16cid:durableId="1657147304">
    <w:abstractNumId w:val="1"/>
  </w:num>
  <w:num w:numId="9" w16cid:durableId="959452310">
    <w:abstractNumId w:val="2"/>
  </w:num>
  <w:num w:numId="10" w16cid:durableId="95637595">
    <w:abstractNumId w:val="11"/>
  </w:num>
  <w:num w:numId="11" w16cid:durableId="772433335">
    <w:abstractNumId w:val="13"/>
  </w:num>
  <w:num w:numId="12" w16cid:durableId="75443627">
    <w:abstractNumId w:val="15"/>
  </w:num>
  <w:num w:numId="13" w16cid:durableId="2053649398">
    <w:abstractNumId w:val="14"/>
  </w:num>
  <w:num w:numId="14" w16cid:durableId="2117559566">
    <w:abstractNumId w:val="0"/>
  </w:num>
  <w:num w:numId="15" w16cid:durableId="1499686389">
    <w:abstractNumId w:val="9"/>
  </w:num>
  <w:num w:numId="16" w16cid:durableId="346520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5A"/>
    <w:rsid w:val="000205B6"/>
    <w:rsid w:val="0002619D"/>
    <w:rsid w:val="00027181"/>
    <w:rsid w:val="00033F77"/>
    <w:rsid w:val="000348B6"/>
    <w:rsid w:val="00041483"/>
    <w:rsid w:val="00044199"/>
    <w:rsid w:val="000441FD"/>
    <w:rsid w:val="00051D8D"/>
    <w:rsid w:val="00070C45"/>
    <w:rsid w:val="00075BE6"/>
    <w:rsid w:val="00091532"/>
    <w:rsid w:val="00095AFF"/>
    <w:rsid w:val="000A1A38"/>
    <w:rsid w:val="000A5C90"/>
    <w:rsid w:val="000C3910"/>
    <w:rsid w:val="000E2240"/>
    <w:rsid w:val="000F2B39"/>
    <w:rsid w:val="000F7C32"/>
    <w:rsid w:val="00104E76"/>
    <w:rsid w:val="00110CD8"/>
    <w:rsid w:val="00110CED"/>
    <w:rsid w:val="00112819"/>
    <w:rsid w:val="0011736D"/>
    <w:rsid w:val="00127952"/>
    <w:rsid w:val="00127D00"/>
    <w:rsid w:val="00137E38"/>
    <w:rsid w:val="001435ED"/>
    <w:rsid w:val="001471B9"/>
    <w:rsid w:val="0016658E"/>
    <w:rsid w:val="00177073"/>
    <w:rsid w:val="001770DF"/>
    <w:rsid w:val="00177EE9"/>
    <w:rsid w:val="00180AAD"/>
    <w:rsid w:val="0018110C"/>
    <w:rsid w:val="001A54AE"/>
    <w:rsid w:val="001A7DCA"/>
    <w:rsid w:val="001B0BC4"/>
    <w:rsid w:val="001C425A"/>
    <w:rsid w:val="001C5AB6"/>
    <w:rsid w:val="001D055B"/>
    <w:rsid w:val="001D1807"/>
    <w:rsid w:val="001F34FA"/>
    <w:rsid w:val="001F5D43"/>
    <w:rsid w:val="00205B2E"/>
    <w:rsid w:val="0020713B"/>
    <w:rsid w:val="00222C66"/>
    <w:rsid w:val="00222CEB"/>
    <w:rsid w:val="00224B78"/>
    <w:rsid w:val="00237E63"/>
    <w:rsid w:val="00252215"/>
    <w:rsid w:val="00265496"/>
    <w:rsid w:val="00283A2B"/>
    <w:rsid w:val="00290F2F"/>
    <w:rsid w:val="0029575E"/>
    <w:rsid w:val="002963B6"/>
    <w:rsid w:val="002977BE"/>
    <w:rsid w:val="002A69FB"/>
    <w:rsid w:val="002B7BF0"/>
    <w:rsid w:val="002C111E"/>
    <w:rsid w:val="002C5BDA"/>
    <w:rsid w:val="002D1A12"/>
    <w:rsid w:val="002E16CF"/>
    <w:rsid w:val="002E352A"/>
    <w:rsid w:val="002E55DE"/>
    <w:rsid w:val="002F2D9C"/>
    <w:rsid w:val="002F7C71"/>
    <w:rsid w:val="00305EF6"/>
    <w:rsid w:val="00310BF7"/>
    <w:rsid w:val="0031346D"/>
    <w:rsid w:val="00321EA2"/>
    <w:rsid w:val="00334FD0"/>
    <w:rsid w:val="00340567"/>
    <w:rsid w:val="00340AE0"/>
    <w:rsid w:val="00340BFB"/>
    <w:rsid w:val="00345715"/>
    <w:rsid w:val="00347F7B"/>
    <w:rsid w:val="00350928"/>
    <w:rsid w:val="00352152"/>
    <w:rsid w:val="0036526F"/>
    <w:rsid w:val="00384EE6"/>
    <w:rsid w:val="003878D7"/>
    <w:rsid w:val="00391600"/>
    <w:rsid w:val="00396ADB"/>
    <w:rsid w:val="003A5483"/>
    <w:rsid w:val="003B1FAF"/>
    <w:rsid w:val="003B7213"/>
    <w:rsid w:val="003C0436"/>
    <w:rsid w:val="003D1A7C"/>
    <w:rsid w:val="003D37DF"/>
    <w:rsid w:val="003E53B1"/>
    <w:rsid w:val="003F0848"/>
    <w:rsid w:val="003F317A"/>
    <w:rsid w:val="0040108B"/>
    <w:rsid w:val="00415359"/>
    <w:rsid w:val="004179C5"/>
    <w:rsid w:val="00424CA7"/>
    <w:rsid w:val="00425982"/>
    <w:rsid w:val="00432964"/>
    <w:rsid w:val="004369CB"/>
    <w:rsid w:val="00447E9B"/>
    <w:rsid w:val="00460E2C"/>
    <w:rsid w:val="0046733E"/>
    <w:rsid w:val="00475F12"/>
    <w:rsid w:val="00481129"/>
    <w:rsid w:val="00485B1D"/>
    <w:rsid w:val="00485D57"/>
    <w:rsid w:val="004873E3"/>
    <w:rsid w:val="004876C6"/>
    <w:rsid w:val="00491EBA"/>
    <w:rsid w:val="004962B8"/>
    <w:rsid w:val="004972E5"/>
    <w:rsid w:val="004A4688"/>
    <w:rsid w:val="004B7931"/>
    <w:rsid w:val="004C3D18"/>
    <w:rsid w:val="004C5C7D"/>
    <w:rsid w:val="004D1A45"/>
    <w:rsid w:val="004D5046"/>
    <w:rsid w:val="004D5A99"/>
    <w:rsid w:val="004E0327"/>
    <w:rsid w:val="004E767A"/>
    <w:rsid w:val="004F16C1"/>
    <w:rsid w:val="00500B54"/>
    <w:rsid w:val="0050618C"/>
    <w:rsid w:val="00513D13"/>
    <w:rsid w:val="00516D5C"/>
    <w:rsid w:val="00536E90"/>
    <w:rsid w:val="0054151B"/>
    <w:rsid w:val="00545C3F"/>
    <w:rsid w:val="0054663A"/>
    <w:rsid w:val="00547C42"/>
    <w:rsid w:val="0056537A"/>
    <w:rsid w:val="00571DB6"/>
    <w:rsid w:val="005A720D"/>
    <w:rsid w:val="005B4CC0"/>
    <w:rsid w:val="005D106E"/>
    <w:rsid w:val="005D383E"/>
    <w:rsid w:val="005E2C33"/>
    <w:rsid w:val="005F43D1"/>
    <w:rsid w:val="005F4CD0"/>
    <w:rsid w:val="005F514F"/>
    <w:rsid w:val="0060087F"/>
    <w:rsid w:val="00600B44"/>
    <w:rsid w:val="00601BF1"/>
    <w:rsid w:val="00617473"/>
    <w:rsid w:val="00617731"/>
    <w:rsid w:val="006177BD"/>
    <w:rsid w:val="00632DC7"/>
    <w:rsid w:val="00641F09"/>
    <w:rsid w:val="00651360"/>
    <w:rsid w:val="00664A0F"/>
    <w:rsid w:val="00681768"/>
    <w:rsid w:val="00683BE0"/>
    <w:rsid w:val="006847B4"/>
    <w:rsid w:val="006862A4"/>
    <w:rsid w:val="0068789F"/>
    <w:rsid w:val="00694749"/>
    <w:rsid w:val="00697797"/>
    <w:rsid w:val="006A5004"/>
    <w:rsid w:val="006A6D9E"/>
    <w:rsid w:val="006C2216"/>
    <w:rsid w:val="006E411A"/>
    <w:rsid w:val="006F3CF1"/>
    <w:rsid w:val="00704108"/>
    <w:rsid w:val="00710BF7"/>
    <w:rsid w:val="00732D4E"/>
    <w:rsid w:val="00734B7E"/>
    <w:rsid w:val="00735C08"/>
    <w:rsid w:val="00737630"/>
    <w:rsid w:val="00740377"/>
    <w:rsid w:val="007408F8"/>
    <w:rsid w:val="00741654"/>
    <w:rsid w:val="00756849"/>
    <w:rsid w:val="0075698A"/>
    <w:rsid w:val="00756F72"/>
    <w:rsid w:val="007714B6"/>
    <w:rsid w:val="0077326E"/>
    <w:rsid w:val="00786623"/>
    <w:rsid w:val="00790463"/>
    <w:rsid w:val="0079252B"/>
    <w:rsid w:val="007A0136"/>
    <w:rsid w:val="007A38C2"/>
    <w:rsid w:val="007A510D"/>
    <w:rsid w:val="007A6623"/>
    <w:rsid w:val="007B535C"/>
    <w:rsid w:val="007C0339"/>
    <w:rsid w:val="007C6118"/>
    <w:rsid w:val="007D171E"/>
    <w:rsid w:val="007D639F"/>
    <w:rsid w:val="007E3B18"/>
    <w:rsid w:val="007F7896"/>
    <w:rsid w:val="00803D04"/>
    <w:rsid w:val="0080768D"/>
    <w:rsid w:val="0081315C"/>
    <w:rsid w:val="0081421B"/>
    <w:rsid w:val="008214A5"/>
    <w:rsid w:val="00821CD4"/>
    <w:rsid w:val="008269BD"/>
    <w:rsid w:val="008379E9"/>
    <w:rsid w:val="00837F1A"/>
    <w:rsid w:val="00842459"/>
    <w:rsid w:val="0084355B"/>
    <w:rsid w:val="00845912"/>
    <w:rsid w:val="0085248D"/>
    <w:rsid w:val="008555E7"/>
    <w:rsid w:val="008703D7"/>
    <w:rsid w:val="008776B9"/>
    <w:rsid w:val="00877D76"/>
    <w:rsid w:val="008901F6"/>
    <w:rsid w:val="008A54FF"/>
    <w:rsid w:val="008B3E82"/>
    <w:rsid w:val="008C5E6C"/>
    <w:rsid w:val="008E2A07"/>
    <w:rsid w:val="008E42A5"/>
    <w:rsid w:val="008E4868"/>
    <w:rsid w:val="008F2B8F"/>
    <w:rsid w:val="008F56ED"/>
    <w:rsid w:val="00900397"/>
    <w:rsid w:val="00903949"/>
    <w:rsid w:val="009040D1"/>
    <w:rsid w:val="00912F7F"/>
    <w:rsid w:val="00914493"/>
    <w:rsid w:val="00915FEA"/>
    <w:rsid w:val="009161A2"/>
    <w:rsid w:val="00922FCD"/>
    <w:rsid w:val="00927854"/>
    <w:rsid w:val="0093197B"/>
    <w:rsid w:val="00934264"/>
    <w:rsid w:val="009442E3"/>
    <w:rsid w:val="00945EB8"/>
    <w:rsid w:val="009508E5"/>
    <w:rsid w:val="00954A6E"/>
    <w:rsid w:val="00954CC0"/>
    <w:rsid w:val="00961FE2"/>
    <w:rsid w:val="00965652"/>
    <w:rsid w:val="00965B4A"/>
    <w:rsid w:val="00967A51"/>
    <w:rsid w:val="009703EB"/>
    <w:rsid w:val="00971A1A"/>
    <w:rsid w:val="0097384B"/>
    <w:rsid w:val="009760A6"/>
    <w:rsid w:val="009816AC"/>
    <w:rsid w:val="009878BE"/>
    <w:rsid w:val="00992CD8"/>
    <w:rsid w:val="009966C1"/>
    <w:rsid w:val="00996E34"/>
    <w:rsid w:val="009A5222"/>
    <w:rsid w:val="009A7C89"/>
    <w:rsid w:val="009B0E6D"/>
    <w:rsid w:val="009B17D8"/>
    <w:rsid w:val="009C484C"/>
    <w:rsid w:val="009C69E1"/>
    <w:rsid w:val="009D41A1"/>
    <w:rsid w:val="009E5CE2"/>
    <w:rsid w:val="009E7A6E"/>
    <w:rsid w:val="009E7F5C"/>
    <w:rsid w:val="00A04F74"/>
    <w:rsid w:val="00A13157"/>
    <w:rsid w:val="00A3102C"/>
    <w:rsid w:val="00A3205B"/>
    <w:rsid w:val="00A371F5"/>
    <w:rsid w:val="00A37664"/>
    <w:rsid w:val="00A5039C"/>
    <w:rsid w:val="00A53C30"/>
    <w:rsid w:val="00A54FFB"/>
    <w:rsid w:val="00A83EB9"/>
    <w:rsid w:val="00A91C2B"/>
    <w:rsid w:val="00AA2913"/>
    <w:rsid w:val="00AA52B1"/>
    <w:rsid w:val="00AB1DCA"/>
    <w:rsid w:val="00AB3A34"/>
    <w:rsid w:val="00AD1F19"/>
    <w:rsid w:val="00AD6C48"/>
    <w:rsid w:val="00AE0D7E"/>
    <w:rsid w:val="00AE1F3A"/>
    <w:rsid w:val="00AF3416"/>
    <w:rsid w:val="00B02E01"/>
    <w:rsid w:val="00B02EC8"/>
    <w:rsid w:val="00B15660"/>
    <w:rsid w:val="00B22274"/>
    <w:rsid w:val="00B35967"/>
    <w:rsid w:val="00B4472F"/>
    <w:rsid w:val="00B46DD7"/>
    <w:rsid w:val="00B56570"/>
    <w:rsid w:val="00B5799D"/>
    <w:rsid w:val="00B7041C"/>
    <w:rsid w:val="00B74C8E"/>
    <w:rsid w:val="00B81717"/>
    <w:rsid w:val="00B82509"/>
    <w:rsid w:val="00B862B1"/>
    <w:rsid w:val="00B952FE"/>
    <w:rsid w:val="00B95EA8"/>
    <w:rsid w:val="00BA20A1"/>
    <w:rsid w:val="00BC0398"/>
    <w:rsid w:val="00BE3546"/>
    <w:rsid w:val="00BE4A80"/>
    <w:rsid w:val="00BF3865"/>
    <w:rsid w:val="00C02292"/>
    <w:rsid w:val="00C054E0"/>
    <w:rsid w:val="00C14FC3"/>
    <w:rsid w:val="00C27868"/>
    <w:rsid w:val="00C33976"/>
    <w:rsid w:val="00C4637D"/>
    <w:rsid w:val="00C46D2C"/>
    <w:rsid w:val="00C51EBF"/>
    <w:rsid w:val="00C523A6"/>
    <w:rsid w:val="00C576F8"/>
    <w:rsid w:val="00C63F48"/>
    <w:rsid w:val="00C65239"/>
    <w:rsid w:val="00C71772"/>
    <w:rsid w:val="00C71F5A"/>
    <w:rsid w:val="00C7652C"/>
    <w:rsid w:val="00C82473"/>
    <w:rsid w:val="00C82BB9"/>
    <w:rsid w:val="00C839D7"/>
    <w:rsid w:val="00C8515B"/>
    <w:rsid w:val="00C90692"/>
    <w:rsid w:val="00C911C4"/>
    <w:rsid w:val="00CB4199"/>
    <w:rsid w:val="00CC0621"/>
    <w:rsid w:val="00CC4862"/>
    <w:rsid w:val="00CD1029"/>
    <w:rsid w:val="00CF0865"/>
    <w:rsid w:val="00CF414B"/>
    <w:rsid w:val="00CF4281"/>
    <w:rsid w:val="00CF76F2"/>
    <w:rsid w:val="00D0008B"/>
    <w:rsid w:val="00D03EA2"/>
    <w:rsid w:val="00D2573A"/>
    <w:rsid w:val="00D34549"/>
    <w:rsid w:val="00D65A2C"/>
    <w:rsid w:val="00D7281F"/>
    <w:rsid w:val="00D86538"/>
    <w:rsid w:val="00DA1D89"/>
    <w:rsid w:val="00DA3DFA"/>
    <w:rsid w:val="00DA5356"/>
    <w:rsid w:val="00DA65E8"/>
    <w:rsid w:val="00DB491D"/>
    <w:rsid w:val="00DB539C"/>
    <w:rsid w:val="00DD1D43"/>
    <w:rsid w:val="00DD4379"/>
    <w:rsid w:val="00DD4F86"/>
    <w:rsid w:val="00DD771E"/>
    <w:rsid w:val="00DE1437"/>
    <w:rsid w:val="00DF38D3"/>
    <w:rsid w:val="00E02032"/>
    <w:rsid w:val="00E154D9"/>
    <w:rsid w:val="00E15DCA"/>
    <w:rsid w:val="00E162CC"/>
    <w:rsid w:val="00E31EAD"/>
    <w:rsid w:val="00E36AE5"/>
    <w:rsid w:val="00E460A8"/>
    <w:rsid w:val="00E66BD7"/>
    <w:rsid w:val="00E753C1"/>
    <w:rsid w:val="00E93FF3"/>
    <w:rsid w:val="00E9590B"/>
    <w:rsid w:val="00EA50F3"/>
    <w:rsid w:val="00EE0A93"/>
    <w:rsid w:val="00EE6FBC"/>
    <w:rsid w:val="00EF0036"/>
    <w:rsid w:val="00EF2970"/>
    <w:rsid w:val="00EF7675"/>
    <w:rsid w:val="00F02E5A"/>
    <w:rsid w:val="00F12213"/>
    <w:rsid w:val="00F1376B"/>
    <w:rsid w:val="00F31437"/>
    <w:rsid w:val="00F40067"/>
    <w:rsid w:val="00F40293"/>
    <w:rsid w:val="00F4195D"/>
    <w:rsid w:val="00F42F1A"/>
    <w:rsid w:val="00F44533"/>
    <w:rsid w:val="00F51373"/>
    <w:rsid w:val="00F527A7"/>
    <w:rsid w:val="00F56264"/>
    <w:rsid w:val="00F6370B"/>
    <w:rsid w:val="00F63E88"/>
    <w:rsid w:val="00F650ED"/>
    <w:rsid w:val="00F717E0"/>
    <w:rsid w:val="00F755EE"/>
    <w:rsid w:val="00F772D0"/>
    <w:rsid w:val="00FA1083"/>
    <w:rsid w:val="00FA54B2"/>
    <w:rsid w:val="00FB37EC"/>
    <w:rsid w:val="00FB79BC"/>
    <w:rsid w:val="00FC2E26"/>
    <w:rsid w:val="00FC33A7"/>
    <w:rsid w:val="00FC5CB5"/>
    <w:rsid w:val="00FD1BA0"/>
    <w:rsid w:val="00FD1F51"/>
    <w:rsid w:val="00FD4E0C"/>
    <w:rsid w:val="00FE2412"/>
    <w:rsid w:val="00FE2FD6"/>
    <w:rsid w:val="00FF0421"/>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5746"/>
  <w15:chartTrackingRefBased/>
  <w15:docId w15:val="{0B754509-308C-463F-AC1F-8BF255B1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E5A"/>
    <w:pPr>
      <w:ind w:left="720"/>
      <w:contextualSpacing/>
    </w:pPr>
  </w:style>
  <w:style w:type="paragraph" w:styleId="FootnoteText">
    <w:name w:val="footnote text"/>
    <w:basedOn w:val="Normal"/>
    <w:link w:val="FootnoteTextChar"/>
    <w:uiPriority w:val="99"/>
    <w:semiHidden/>
    <w:unhideWhenUsed/>
    <w:rsid w:val="00F02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E5A"/>
    <w:rPr>
      <w:sz w:val="20"/>
      <w:szCs w:val="20"/>
    </w:rPr>
  </w:style>
  <w:style w:type="character" w:styleId="FootnoteReference">
    <w:name w:val="footnote reference"/>
    <w:basedOn w:val="DefaultParagraphFont"/>
    <w:uiPriority w:val="99"/>
    <w:semiHidden/>
    <w:unhideWhenUsed/>
    <w:rsid w:val="00F02E5A"/>
    <w:rPr>
      <w:vertAlign w:val="superscript"/>
    </w:rPr>
  </w:style>
  <w:style w:type="character" w:styleId="Hyperlink">
    <w:name w:val="Hyperlink"/>
    <w:basedOn w:val="DefaultParagraphFont"/>
    <w:uiPriority w:val="99"/>
    <w:unhideWhenUsed/>
    <w:rsid w:val="00F02E5A"/>
    <w:rPr>
      <w:color w:val="0563C1" w:themeColor="hyperlink"/>
      <w:u w:val="single"/>
    </w:rPr>
  </w:style>
  <w:style w:type="paragraph" w:styleId="Header">
    <w:name w:val="header"/>
    <w:basedOn w:val="Normal"/>
    <w:link w:val="HeaderChar"/>
    <w:uiPriority w:val="99"/>
    <w:semiHidden/>
    <w:unhideWhenUsed/>
    <w:rsid w:val="00485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5B1D"/>
  </w:style>
  <w:style w:type="paragraph" w:styleId="Footer">
    <w:name w:val="footer"/>
    <w:basedOn w:val="Normal"/>
    <w:link w:val="FooterChar"/>
    <w:uiPriority w:val="99"/>
    <w:semiHidden/>
    <w:unhideWhenUsed/>
    <w:rsid w:val="00485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B1D"/>
  </w:style>
  <w:style w:type="character" w:styleId="UnresolvedMention">
    <w:name w:val="Unresolved Mention"/>
    <w:basedOn w:val="DefaultParagraphFont"/>
    <w:uiPriority w:val="99"/>
    <w:semiHidden/>
    <w:unhideWhenUsed/>
    <w:rsid w:val="00C911C4"/>
    <w:rPr>
      <w:color w:val="605E5C"/>
      <w:shd w:val="clear" w:color="auto" w:fill="E1DFDD"/>
    </w:rPr>
  </w:style>
  <w:style w:type="paragraph" w:styleId="NormalWeb">
    <w:name w:val="Normal (Web)"/>
    <w:basedOn w:val="Normal"/>
    <w:uiPriority w:val="99"/>
    <w:unhideWhenUsed/>
    <w:rsid w:val="00F31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23639">
      <w:bodyDiv w:val="1"/>
      <w:marLeft w:val="0"/>
      <w:marRight w:val="0"/>
      <w:marTop w:val="0"/>
      <w:marBottom w:val="0"/>
      <w:divBdr>
        <w:top w:val="none" w:sz="0" w:space="0" w:color="auto"/>
        <w:left w:val="none" w:sz="0" w:space="0" w:color="auto"/>
        <w:bottom w:val="none" w:sz="0" w:space="0" w:color="auto"/>
        <w:right w:val="none" w:sz="0" w:space="0" w:color="auto"/>
      </w:divBdr>
    </w:div>
    <w:div w:id="591359589">
      <w:bodyDiv w:val="1"/>
      <w:marLeft w:val="0"/>
      <w:marRight w:val="0"/>
      <w:marTop w:val="0"/>
      <w:marBottom w:val="0"/>
      <w:divBdr>
        <w:top w:val="none" w:sz="0" w:space="0" w:color="auto"/>
        <w:left w:val="none" w:sz="0" w:space="0" w:color="auto"/>
        <w:bottom w:val="none" w:sz="0" w:space="0" w:color="auto"/>
        <w:right w:val="none" w:sz="0" w:space="0" w:color="auto"/>
      </w:divBdr>
      <w:divsChild>
        <w:div w:id="945117078">
          <w:marLeft w:val="720"/>
          <w:marRight w:val="0"/>
          <w:marTop w:val="0"/>
          <w:marBottom w:val="160"/>
          <w:divBdr>
            <w:top w:val="none" w:sz="0" w:space="0" w:color="auto"/>
            <w:left w:val="none" w:sz="0" w:space="0" w:color="auto"/>
            <w:bottom w:val="none" w:sz="0" w:space="0" w:color="auto"/>
            <w:right w:val="none" w:sz="0" w:space="0" w:color="auto"/>
          </w:divBdr>
        </w:div>
        <w:div w:id="1685329001">
          <w:marLeft w:val="720"/>
          <w:marRight w:val="0"/>
          <w:marTop w:val="0"/>
          <w:marBottom w:val="160"/>
          <w:divBdr>
            <w:top w:val="none" w:sz="0" w:space="0" w:color="auto"/>
            <w:left w:val="none" w:sz="0" w:space="0" w:color="auto"/>
            <w:bottom w:val="none" w:sz="0" w:space="0" w:color="auto"/>
            <w:right w:val="none" w:sz="0" w:space="0" w:color="auto"/>
          </w:divBdr>
        </w:div>
        <w:div w:id="2076735794">
          <w:marLeft w:val="720"/>
          <w:marRight w:val="0"/>
          <w:marTop w:val="0"/>
          <w:marBottom w:val="160"/>
          <w:divBdr>
            <w:top w:val="none" w:sz="0" w:space="0" w:color="auto"/>
            <w:left w:val="none" w:sz="0" w:space="0" w:color="auto"/>
            <w:bottom w:val="none" w:sz="0" w:space="0" w:color="auto"/>
            <w:right w:val="none" w:sz="0" w:space="0" w:color="auto"/>
          </w:divBdr>
        </w:div>
      </w:divsChild>
    </w:div>
    <w:div w:id="1005594103">
      <w:bodyDiv w:val="1"/>
      <w:marLeft w:val="0"/>
      <w:marRight w:val="0"/>
      <w:marTop w:val="0"/>
      <w:marBottom w:val="0"/>
      <w:divBdr>
        <w:top w:val="none" w:sz="0" w:space="0" w:color="auto"/>
        <w:left w:val="none" w:sz="0" w:space="0" w:color="auto"/>
        <w:bottom w:val="none" w:sz="0" w:space="0" w:color="auto"/>
        <w:right w:val="none" w:sz="0" w:space="0" w:color="auto"/>
      </w:divBdr>
      <w:divsChild>
        <w:div w:id="706415413">
          <w:marLeft w:val="547"/>
          <w:marRight w:val="0"/>
          <w:marTop w:val="0"/>
          <w:marBottom w:val="0"/>
          <w:divBdr>
            <w:top w:val="none" w:sz="0" w:space="0" w:color="auto"/>
            <w:left w:val="none" w:sz="0" w:space="0" w:color="auto"/>
            <w:bottom w:val="none" w:sz="0" w:space="0" w:color="auto"/>
            <w:right w:val="none" w:sz="0" w:space="0" w:color="auto"/>
          </w:divBdr>
        </w:div>
        <w:div w:id="1138496748">
          <w:marLeft w:val="547"/>
          <w:marRight w:val="0"/>
          <w:marTop w:val="0"/>
          <w:marBottom w:val="160"/>
          <w:divBdr>
            <w:top w:val="none" w:sz="0" w:space="0" w:color="auto"/>
            <w:left w:val="none" w:sz="0" w:space="0" w:color="auto"/>
            <w:bottom w:val="none" w:sz="0" w:space="0" w:color="auto"/>
            <w:right w:val="none" w:sz="0" w:space="0" w:color="auto"/>
          </w:divBdr>
        </w:div>
        <w:div w:id="1485509497">
          <w:marLeft w:val="547"/>
          <w:marRight w:val="0"/>
          <w:marTop w:val="0"/>
          <w:marBottom w:val="0"/>
          <w:divBdr>
            <w:top w:val="none" w:sz="0" w:space="0" w:color="auto"/>
            <w:left w:val="none" w:sz="0" w:space="0" w:color="auto"/>
            <w:bottom w:val="none" w:sz="0" w:space="0" w:color="auto"/>
            <w:right w:val="none" w:sz="0" w:space="0" w:color="auto"/>
          </w:divBdr>
        </w:div>
        <w:div w:id="1565947396">
          <w:marLeft w:val="547"/>
          <w:marRight w:val="0"/>
          <w:marTop w:val="0"/>
          <w:marBottom w:val="0"/>
          <w:divBdr>
            <w:top w:val="none" w:sz="0" w:space="0" w:color="auto"/>
            <w:left w:val="none" w:sz="0" w:space="0" w:color="auto"/>
            <w:bottom w:val="none" w:sz="0" w:space="0" w:color="auto"/>
            <w:right w:val="none" w:sz="0" w:space="0" w:color="auto"/>
          </w:divBdr>
        </w:div>
        <w:div w:id="1678581538">
          <w:marLeft w:val="547"/>
          <w:marRight w:val="0"/>
          <w:marTop w:val="0"/>
          <w:marBottom w:val="0"/>
          <w:divBdr>
            <w:top w:val="none" w:sz="0" w:space="0" w:color="auto"/>
            <w:left w:val="none" w:sz="0" w:space="0" w:color="auto"/>
            <w:bottom w:val="none" w:sz="0" w:space="0" w:color="auto"/>
            <w:right w:val="none" w:sz="0" w:space="0" w:color="auto"/>
          </w:divBdr>
        </w:div>
        <w:div w:id="1728455085">
          <w:marLeft w:val="547"/>
          <w:marRight w:val="0"/>
          <w:marTop w:val="0"/>
          <w:marBottom w:val="0"/>
          <w:divBdr>
            <w:top w:val="none" w:sz="0" w:space="0" w:color="auto"/>
            <w:left w:val="none" w:sz="0" w:space="0" w:color="auto"/>
            <w:bottom w:val="none" w:sz="0" w:space="0" w:color="auto"/>
            <w:right w:val="none" w:sz="0" w:space="0" w:color="auto"/>
          </w:divBdr>
        </w:div>
      </w:divsChild>
    </w:div>
    <w:div w:id="1944530356">
      <w:bodyDiv w:val="1"/>
      <w:marLeft w:val="0"/>
      <w:marRight w:val="0"/>
      <w:marTop w:val="0"/>
      <w:marBottom w:val="0"/>
      <w:divBdr>
        <w:top w:val="none" w:sz="0" w:space="0" w:color="auto"/>
        <w:left w:val="none" w:sz="0" w:space="0" w:color="auto"/>
        <w:bottom w:val="none" w:sz="0" w:space="0" w:color="auto"/>
        <w:right w:val="none" w:sz="0" w:space="0" w:color="auto"/>
      </w:divBdr>
      <w:divsChild>
        <w:div w:id="911692919">
          <w:marLeft w:val="0"/>
          <w:marRight w:val="0"/>
          <w:marTop w:val="0"/>
          <w:marBottom w:val="160"/>
          <w:divBdr>
            <w:top w:val="none" w:sz="0" w:space="0" w:color="auto"/>
            <w:left w:val="none" w:sz="0" w:space="0" w:color="auto"/>
            <w:bottom w:val="none" w:sz="0" w:space="0" w:color="auto"/>
            <w:right w:val="none" w:sz="0" w:space="0" w:color="auto"/>
          </w:divBdr>
        </w:div>
        <w:div w:id="1312373042">
          <w:marLeft w:val="0"/>
          <w:marRight w:val="0"/>
          <w:marTop w:val="0"/>
          <w:marBottom w:val="160"/>
          <w:divBdr>
            <w:top w:val="none" w:sz="0" w:space="0" w:color="auto"/>
            <w:left w:val="none" w:sz="0" w:space="0" w:color="auto"/>
            <w:bottom w:val="none" w:sz="0" w:space="0" w:color="auto"/>
            <w:right w:val="none" w:sz="0" w:space="0" w:color="auto"/>
          </w:divBdr>
        </w:div>
        <w:div w:id="1968271320">
          <w:marLeft w:val="0"/>
          <w:marRight w:val="0"/>
          <w:marTop w:val="0"/>
          <w:marBottom w:val="160"/>
          <w:divBdr>
            <w:top w:val="none" w:sz="0" w:space="0" w:color="auto"/>
            <w:left w:val="none" w:sz="0" w:space="0" w:color="auto"/>
            <w:bottom w:val="none" w:sz="0" w:space="0" w:color="auto"/>
            <w:right w:val="none" w:sz="0" w:space="0" w:color="auto"/>
          </w:divBdr>
        </w:div>
        <w:div w:id="198384682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vces@tscl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V@addressthehomel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V@addressthehomeles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d.gov/program_offices/public_indian_housing/programs/hcv/about/fact_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3B947A98-D07B-4294-8EC1-F5C7891B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6DAF9-DFC6-41AB-B8E5-CD5BE35940E9}">
  <ds:schemaRefs>
    <ds:schemaRef ds:uri="http://schemas.microsoft.com/sharepoint/v3/contenttype/forms"/>
  </ds:schemaRefs>
</ds:datastoreItem>
</file>

<file path=customXml/itemProps3.xml><?xml version="1.0" encoding="utf-8"?>
<ds:datastoreItem xmlns:ds="http://schemas.openxmlformats.org/officeDocument/2006/customXml" ds:itemID="{44B5C352-E189-49AF-958A-29840E21D556}">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Links>
    <vt:vector size="48" baseType="variant">
      <vt:variant>
        <vt:i4>6291546</vt:i4>
      </vt:variant>
      <vt:variant>
        <vt:i4>21</vt:i4>
      </vt:variant>
      <vt:variant>
        <vt:i4>0</vt:i4>
      </vt:variant>
      <vt:variant>
        <vt:i4>5</vt:i4>
      </vt:variant>
      <vt:variant>
        <vt:lpwstr>mailto:dvces@tscli.org</vt:lpwstr>
      </vt:variant>
      <vt:variant>
        <vt:lpwstr/>
      </vt:variant>
      <vt:variant>
        <vt:i4>4980837</vt:i4>
      </vt:variant>
      <vt:variant>
        <vt:i4>18</vt:i4>
      </vt:variant>
      <vt:variant>
        <vt:i4>0</vt:i4>
      </vt:variant>
      <vt:variant>
        <vt:i4>5</vt:i4>
      </vt:variant>
      <vt:variant>
        <vt:lpwstr>mailto:EHV@addressthehomeless.org</vt:lpwstr>
      </vt:variant>
      <vt:variant>
        <vt:lpwstr/>
      </vt:variant>
      <vt:variant>
        <vt:i4>6291546</vt:i4>
      </vt:variant>
      <vt:variant>
        <vt:i4>15</vt:i4>
      </vt:variant>
      <vt:variant>
        <vt:i4>0</vt:i4>
      </vt:variant>
      <vt:variant>
        <vt:i4>5</vt:i4>
      </vt:variant>
      <vt:variant>
        <vt:lpwstr>mailto:dvces@tscli.org</vt:lpwstr>
      </vt:variant>
      <vt:variant>
        <vt:lpwstr/>
      </vt:variant>
      <vt:variant>
        <vt:i4>4980837</vt:i4>
      </vt:variant>
      <vt:variant>
        <vt:i4>12</vt:i4>
      </vt:variant>
      <vt:variant>
        <vt:i4>0</vt:i4>
      </vt:variant>
      <vt:variant>
        <vt:i4>5</vt:i4>
      </vt:variant>
      <vt:variant>
        <vt:lpwstr>mailto:EHV@addressthehomeless.org</vt:lpwstr>
      </vt:variant>
      <vt:variant>
        <vt:lpwstr/>
      </vt:variant>
      <vt:variant>
        <vt:i4>6291546</vt:i4>
      </vt:variant>
      <vt:variant>
        <vt:i4>9</vt:i4>
      </vt:variant>
      <vt:variant>
        <vt:i4>0</vt:i4>
      </vt:variant>
      <vt:variant>
        <vt:i4>5</vt:i4>
      </vt:variant>
      <vt:variant>
        <vt:lpwstr>mailto:dvces@tscli.org</vt:lpwstr>
      </vt:variant>
      <vt:variant>
        <vt:lpwstr/>
      </vt:variant>
      <vt:variant>
        <vt:i4>4980837</vt:i4>
      </vt:variant>
      <vt:variant>
        <vt:i4>6</vt:i4>
      </vt:variant>
      <vt:variant>
        <vt:i4>0</vt:i4>
      </vt:variant>
      <vt:variant>
        <vt:i4>5</vt:i4>
      </vt:variant>
      <vt:variant>
        <vt:lpwstr>mailto:EHV@addressthehomeless.org</vt:lpwstr>
      </vt:variant>
      <vt:variant>
        <vt:lpwstr/>
      </vt:variant>
      <vt:variant>
        <vt:i4>4980837</vt:i4>
      </vt:variant>
      <vt:variant>
        <vt:i4>3</vt:i4>
      </vt:variant>
      <vt:variant>
        <vt:i4>0</vt:i4>
      </vt:variant>
      <vt:variant>
        <vt:i4>5</vt:i4>
      </vt:variant>
      <vt:variant>
        <vt:lpwstr>mailto:EHV@addressthehomeless.org</vt:lpwstr>
      </vt:variant>
      <vt:variant>
        <vt:lpwstr/>
      </vt:variant>
      <vt:variant>
        <vt:i4>1900610</vt:i4>
      </vt:variant>
      <vt:variant>
        <vt:i4>0</vt:i4>
      </vt:variant>
      <vt:variant>
        <vt:i4>0</vt:i4>
      </vt:variant>
      <vt:variant>
        <vt:i4>5</vt:i4>
      </vt:variant>
      <vt:variant>
        <vt:lpwstr>https://www.hud.gov/program_offices/public_indian_housing/programs/hcv/about/fact_sheet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Labia</dc:creator>
  <cp:keywords/>
  <dc:description/>
  <cp:lastModifiedBy>Al Licata</cp:lastModifiedBy>
  <cp:revision>3</cp:revision>
  <dcterms:created xsi:type="dcterms:W3CDTF">2022-09-12T14:33:00Z</dcterms:created>
  <dcterms:modified xsi:type="dcterms:W3CDTF">2022-09-12T14:34:00Z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